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4F" w:rsidRDefault="00986D4F" w:rsidP="000B6439">
      <w:pPr>
        <w:pStyle w:val="BodyText"/>
        <w:widowControl w:val="0"/>
      </w:pPr>
      <w:bookmarkStart w:id="0" w:name="_GoBack"/>
      <w:bookmarkEnd w:id="0"/>
    </w:p>
    <w:p w:rsidR="00E6339B" w:rsidRDefault="00E6339B" w:rsidP="000B6439">
      <w:pPr>
        <w:pStyle w:val="BodyText"/>
        <w:widowControl w:val="0"/>
      </w:pPr>
    </w:p>
    <w:p w:rsidR="00E6339B" w:rsidRDefault="00E6339B" w:rsidP="000B6439">
      <w:pPr>
        <w:pStyle w:val="BodyText"/>
        <w:widowControl w:val="0"/>
      </w:pPr>
    </w:p>
    <w:p w:rsidR="00E6339B" w:rsidRDefault="00E6339B" w:rsidP="000B6439">
      <w:pPr>
        <w:pStyle w:val="BodyText"/>
        <w:widowControl w:val="0"/>
      </w:pPr>
    </w:p>
    <w:p w:rsidR="00E6339B" w:rsidRDefault="00E6339B" w:rsidP="000B6439">
      <w:pPr>
        <w:pStyle w:val="BodyText"/>
        <w:widowControl w:val="0"/>
      </w:pPr>
    </w:p>
    <w:p w:rsidR="00E6339B" w:rsidRDefault="00E6339B" w:rsidP="000B6439">
      <w:pPr>
        <w:pStyle w:val="BodyText"/>
        <w:widowControl w:val="0"/>
      </w:pPr>
    </w:p>
    <w:p w:rsidR="00E6339B" w:rsidRDefault="00E6339B" w:rsidP="000B6439">
      <w:pPr>
        <w:pStyle w:val="BodyText"/>
        <w:widowControl w:val="0"/>
      </w:pPr>
    </w:p>
    <w:p w:rsidR="00E6339B" w:rsidRDefault="00E6339B" w:rsidP="000B6439">
      <w:pPr>
        <w:pStyle w:val="BodyText"/>
        <w:widowControl w:val="0"/>
      </w:pPr>
    </w:p>
    <w:p w:rsidR="00E6339B" w:rsidRDefault="00E6339B" w:rsidP="000B6439">
      <w:pPr>
        <w:pStyle w:val="BodyText"/>
        <w:widowControl w:val="0"/>
      </w:pPr>
    </w:p>
    <w:p w:rsidR="00E6339B" w:rsidRDefault="00E6339B" w:rsidP="000B6439">
      <w:pPr>
        <w:pStyle w:val="BodyText"/>
        <w:widowControl w:val="0"/>
      </w:pPr>
    </w:p>
    <w:p w:rsidR="00E6339B" w:rsidRDefault="00E6339B" w:rsidP="000B6439">
      <w:pPr>
        <w:pStyle w:val="BodyText"/>
        <w:widowControl w:val="0"/>
      </w:pPr>
    </w:p>
    <w:p w:rsidR="00E6339B" w:rsidRPr="00E6339B" w:rsidRDefault="00E6339B" w:rsidP="000B6439">
      <w:pPr>
        <w:pStyle w:val="BodyText"/>
        <w:widowControl w:val="0"/>
        <w:jc w:val="center"/>
        <w:rPr>
          <w:sz w:val="52"/>
          <w:szCs w:val="52"/>
        </w:rPr>
      </w:pPr>
      <w:r w:rsidRPr="00E6339B">
        <w:rPr>
          <w:sz w:val="52"/>
          <w:szCs w:val="52"/>
        </w:rPr>
        <w:t>The Enemy Within</w:t>
      </w:r>
    </w:p>
    <w:p w:rsidR="00E6339B" w:rsidRDefault="00E6339B" w:rsidP="000B6439">
      <w:pPr>
        <w:pStyle w:val="BodyText"/>
        <w:widowControl w:val="0"/>
        <w:jc w:val="center"/>
        <w:rPr>
          <w:sz w:val="40"/>
          <w:szCs w:val="40"/>
        </w:rPr>
      </w:pPr>
      <w:r>
        <w:rPr>
          <w:sz w:val="40"/>
          <w:szCs w:val="40"/>
        </w:rPr>
        <w:t>Protect</w:t>
      </w:r>
      <w:r w:rsidR="00E54595">
        <w:rPr>
          <w:sz w:val="40"/>
          <w:szCs w:val="40"/>
        </w:rPr>
        <w:t>ing</w:t>
      </w:r>
      <w:r>
        <w:rPr>
          <w:sz w:val="40"/>
          <w:szCs w:val="40"/>
        </w:rPr>
        <w:t xml:space="preserve"> Your Company from Itself</w:t>
      </w:r>
    </w:p>
    <w:p w:rsidR="00C8539C" w:rsidRDefault="00C8539C" w:rsidP="000B6439">
      <w:pPr>
        <w:pStyle w:val="BodyText"/>
        <w:widowControl w:val="0"/>
        <w:jc w:val="center"/>
        <w:rPr>
          <w:sz w:val="40"/>
          <w:szCs w:val="40"/>
        </w:rPr>
      </w:pPr>
    </w:p>
    <w:p w:rsidR="00C8539C" w:rsidRDefault="00C8539C" w:rsidP="000B6439">
      <w:pPr>
        <w:pStyle w:val="BodyText"/>
        <w:widowControl w:val="0"/>
        <w:jc w:val="center"/>
        <w:rPr>
          <w:sz w:val="40"/>
          <w:szCs w:val="40"/>
        </w:rPr>
      </w:pPr>
    </w:p>
    <w:p w:rsidR="00C8539C" w:rsidRDefault="00C8539C" w:rsidP="000B6439">
      <w:pPr>
        <w:pStyle w:val="BodyText"/>
        <w:widowControl w:val="0"/>
        <w:jc w:val="center"/>
        <w:rPr>
          <w:sz w:val="40"/>
          <w:szCs w:val="40"/>
        </w:rPr>
      </w:pPr>
    </w:p>
    <w:p w:rsidR="00C8539C" w:rsidRDefault="00C8539C" w:rsidP="000B6439">
      <w:pPr>
        <w:pStyle w:val="BodyText"/>
        <w:widowControl w:val="0"/>
        <w:jc w:val="center"/>
        <w:rPr>
          <w:sz w:val="40"/>
          <w:szCs w:val="40"/>
        </w:rPr>
      </w:pPr>
    </w:p>
    <w:p w:rsidR="00C8539C" w:rsidRDefault="00C8539C" w:rsidP="000B6439">
      <w:pPr>
        <w:pStyle w:val="BodyText"/>
        <w:widowControl w:val="0"/>
        <w:spacing w:after="0" w:line="240" w:lineRule="auto"/>
        <w:jc w:val="right"/>
        <w:rPr>
          <w:sz w:val="32"/>
          <w:szCs w:val="32"/>
        </w:rPr>
      </w:pPr>
    </w:p>
    <w:p w:rsidR="00C8539C" w:rsidRDefault="00C8539C" w:rsidP="000B6439">
      <w:pPr>
        <w:pStyle w:val="BodyText"/>
        <w:widowControl w:val="0"/>
        <w:spacing w:after="0" w:line="240" w:lineRule="auto"/>
        <w:jc w:val="right"/>
        <w:rPr>
          <w:sz w:val="32"/>
          <w:szCs w:val="32"/>
        </w:rPr>
      </w:pPr>
    </w:p>
    <w:p w:rsidR="00C8539C" w:rsidRDefault="00C8539C" w:rsidP="000B6439">
      <w:pPr>
        <w:pStyle w:val="BodyText"/>
        <w:widowControl w:val="0"/>
        <w:spacing w:after="0" w:line="240" w:lineRule="auto"/>
        <w:jc w:val="right"/>
        <w:rPr>
          <w:sz w:val="32"/>
          <w:szCs w:val="32"/>
        </w:rPr>
      </w:pPr>
    </w:p>
    <w:p w:rsidR="00C8539C" w:rsidRDefault="00C8539C" w:rsidP="000B6439">
      <w:pPr>
        <w:pStyle w:val="BodyText"/>
        <w:widowControl w:val="0"/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Robert R. Maddox</w:t>
      </w:r>
    </w:p>
    <w:p w:rsidR="00C8539C" w:rsidRDefault="00C8539C" w:rsidP="000B6439">
      <w:pPr>
        <w:pStyle w:val="BodyText"/>
        <w:widowControl w:val="0"/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Edward S. Sledge, IV</w:t>
      </w:r>
    </w:p>
    <w:p w:rsidR="00C8539C" w:rsidRDefault="00C8539C" w:rsidP="000B6439">
      <w:pPr>
        <w:pStyle w:val="BodyText"/>
        <w:widowControl w:val="0"/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J. Jackson Hill, IV</w:t>
      </w:r>
    </w:p>
    <w:p w:rsidR="00C8539C" w:rsidRDefault="00C8539C" w:rsidP="000B6439">
      <w:pPr>
        <w:pStyle w:val="BodyText"/>
        <w:widowControl w:val="0"/>
        <w:spacing w:after="0" w:line="240" w:lineRule="auto"/>
        <w:jc w:val="right"/>
        <w:rPr>
          <w:sz w:val="32"/>
          <w:szCs w:val="32"/>
        </w:rPr>
      </w:pPr>
    </w:p>
    <w:p w:rsidR="00C8539C" w:rsidRDefault="00C8539C" w:rsidP="000B6439">
      <w:pPr>
        <w:pStyle w:val="BodyText"/>
        <w:widowControl w:val="0"/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Bradley Arant Boult Cummings, LLP</w:t>
      </w:r>
    </w:p>
    <w:p w:rsidR="00C8539C" w:rsidRDefault="00C8539C" w:rsidP="000B6439">
      <w:pPr>
        <w:pStyle w:val="BodyText"/>
        <w:widowControl w:val="0"/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One Federal Place</w:t>
      </w:r>
    </w:p>
    <w:p w:rsidR="00C8539C" w:rsidRDefault="00C8539C" w:rsidP="000B6439">
      <w:pPr>
        <w:pStyle w:val="BodyText"/>
        <w:widowControl w:val="0"/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1819 Fifth Avenue North</w:t>
      </w:r>
    </w:p>
    <w:p w:rsidR="00C8539C" w:rsidRDefault="00C8539C" w:rsidP="000B6439">
      <w:pPr>
        <w:pStyle w:val="BodyText"/>
        <w:widowControl w:val="0"/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Birmingham, AL 35203</w:t>
      </w:r>
    </w:p>
    <w:p w:rsidR="008D4A72" w:rsidRDefault="008D4A72" w:rsidP="000B6439">
      <w:pPr>
        <w:pStyle w:val="BodyText"/>
        <w:widowControl w:val="0"/>
        <w:spacing w:after="0" w:line="240" w:lineRule="auto"/>
        <w:jc w:val="right"/>
        <w:rPr>
          <w:sz w:val="32"/>
          <w:szCs w:val="32"/>
        </w:rPr>
      </w:pPr>
    </w:p>
    <w:p w:rsidR="004A7056" w:rsidRPr="009E1D45" w:rsidRDefault="004A7056" w:rsidP="000B6439">
      <w:pPr>
        <w:pStyle w:val="BodyText"/>
        <w:widowControl w:val="0"/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9E1D45">
        <w:rPr>
          <w:rFonts w:ascii="Garamond" w:hAnsi="Garamond"/>
          <w:i/>
          <w:sz w:val="28"/>
          <w:szCs w:val="28"/>
        </w:rPr>
        <w:lastRenderedPageBreak/>
        <w:t xml:space="preserve">“An enemy at the gates is less formidable, for he is known and carries his banner openly.” </w:t>
      </w:r>
      <w:r w:rsidRPr="009E1D45">
        <w:rPr>
          <w:rFonts w:ascii="Garamond" w:hAnsi="Garamond"/>
          <w:sz w:val="28"/>
          <w:szCs w:val="28"/>
        </w:rPr>
        <w:t xml:space="preserve">  </w:t>
      </w:r>
    </w:p>
    <w:p w:rsidR="008D4A72" w:rsidRPr="009E1D45" w:rsidRDefault="004A7056" w:rsidP="000B6439">
      <w:pPr>
        <w:pStyle w:val="BodyText"/>
        <w:widowControl w:val="0"/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9E1D45">
        <w:rPr>
          <w:rFonts w:ascii="Garamond" w:hAnsi="Garamond"/>
          <w:sz w:val="28"/>
          <w:szCs w:val="28"/>
        </w:rPr>
        <w:tab/>
        <w:t>Marcus Tullius Cicero</w:t>
      </w:r>
    </w:p>
    <w:p w:rsidR="004A7056" w:rsidRDefault="004A7056" w:rsidP="000B6439">
      <w:pPr>
        <w:pStyle w:val="BodyText"/>
        <w:widowControl w:val="0"/>
        <w:spacing w:after="0" w:line="240" w:lineRule="auto"/>
        <w:jc w:val="both"/>
        <w:rPr>
          <w:sz w:val="28"/>
          <w:szCs w:val="28"/>
        </w:rPr>
      </w:pPr>
    </w:p>
    <w:p w:rsidR="004A7056" w:rsidRPr="009E1D45" w:rsidRDefault="004A7056" w:rsidP="000B6439">
      <w:pPr>
        <w:pStyle w:val="BodyText"/>
        <w:widowControl w:val="0"/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9E1D45">
        <w:rPr>
          <w:rFonts w:ascii="Garamond" w:hAnsi="Garamond"/>
          <w:i/>
          <w:sz w:val="28"/>
          <w:szCs w:val="28"/>
        </w:rPr>
        <w:t xml:space="preserve">“When there is no enemy within, the enemies outside cannot hurt you.” </w:t>
      </w:r>
      <w:r w:rsidRPr="009E1D45">
        <w:rPr>
          <w:rFonts w:ascii="Garamond" w:hAnsi="Garamond"/>
          <w:sz w:val="28"/>
          <w:szCs w:val="28"/>
        </w:rPr>
        <w:t xml:space="preserve"> </w:t>
      </w:r>
    </w:p>
    <w:p w:rsidR="004A7056" w:rsidRPr="009E1D45" w:rsidRDefault="004A7056" w:rsidP="000B6439">
      <w:pPr>
        <w:pStyle w:val="BodyText"/>
        <w:widowControl w:val="0"/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9E1D45">
        <w:rPr>
          <w:rFonts w:ascii="Garamond" w:hAnsi="Garamond"/>
          <w:sz w:val="28"/>
          <w:szCs w:val="28"/>
        </w:rPr>
        <w:tab/>
        <w:t>African Proverb</w:t>
      </w:r>
    </w:p>
    <w:p w:rsidR="004A7056" w:rsidRDefault="004A7056" w:rsidP="000B6439">
      <w:pPr>
        <w:pStyle w:val="BodyText"/>
        <w:widowControl w:val="0"/>
        <w:spacing w:after="0" w:line="240" w:lineRule="auto"/>
        <w:jc w:val="both"/>
        <w:rPr>
          <w:sz w:val="28"/>
          <w:szCs w:val="28"/>
        </w:rPr>
      </w:pPr>
    </w:p>
    <w:p w:rsidR="004A7056" w:rsidRPr="004A7056" w:rsidRDefault="004A7056" w:rsidP="000B6439">
      <w:pPr>
        <w:pStyle w:val="BodyText"/>
        <w:widowControl w:val="0"/>
        <w:spacing w:after="0" w:line="240" w:lineRule="auto"/>
        <w:jc w:val="both"/>
        <w:rPr>
          <w:b/>
          <w:sz w:val="28"/>
          <w:szCs w:val="28"/>
        </w:rPr>
      </w:pPr>
      <w:r w:rsidRPr="004A7056">
        <w:rPr>
          <w:b/>
          <w:sz w:val="28"/>
          <w:szCs w:val="28"/>
        </w:rPr>
        <w:t>I.</w:t>
      </w:r>
      <w:r w:rsidRPr="004A7056">
        <w:rPr>
          <w:b/>
          <w:sz w:val="28"/>
          <w:szCs w:val="28"/>
        </w:rPr>
        <w:tab/>
        <w:t>Introduction</w:t>
      </w:r>
    </w:p>
    <w:p w:rsidR="004A7056" w:rsidRDefault="004A7056" w:rsidP="000B6439">
      <w:pPr>
        <w:pStyle w:val="BodyText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4A7056" w:rsidRDefault="004A7056" w:rsidP="000B6439">
      <w:pPr>
        <w:pStyle w:val="BodyText"/>
        <w:widowControl w:val="0"/>
        <w:spacing w:after="0" w:line="240" w:lineRule="auto"/>
        <w:jc w:val="both"/>
      </w:pPr>
      <w:r>
        <w:rPr>
          <w:b/>
          <w:sz w:val="28"/>
          <w:szCs w:val="28"/>
        </w:rPr>
        <w:tab/>
      </w:r>
      <w:r w:rsidR="00A21F42">
        <w:t>The two quotes above are provocative because they turn standar</w:t>
      </w:r>
      <w:r w:rsidR="00A56B7E">
        <w:t>d logic on its head. The assumption of any nation</w:t>
      </w:r>
      <w:r w:rsidR="00604397">
        <w:t xml:space="preserve"> is that its downfall, should it ever occur, will be the result of outside forces and influe</w:t>
      </w:r>
      <w:r w:rsidR="001B64AD">
        <w:t xml:space="preserve">nces. For this reason, </w:t>
      </w:r>
      <w:r w:rsidR="00646277">
        <w:t>history is full of empires and kingdoms that constantly sought to strengthen their respective</w:t>
      </w:r>
      <w:r w:rsidR="00604397">
        <w:t xml:space="preserve"> fort</w:t>
      </w:r>
      <w:r w:rsidR="00646277">
        <w:t xml:space="preserve">resses and armies in anticipation of </w:t>
      </w:r>
      <w:r w:rsidR="00604397">
        <w:t xml:space="preserve">external foes. </w:t>
      </w:r>
      <w:r w:rsidR="00467E64">
        <w:t xml:space="preserve">While important, such an </w:t>
      </w:r>
      <w:r w:rsidR="00646277">
        <w:t xml:space="preserve">approach does not necessarily </w:t>
      </w:r>
      <w:r w:rsidR="006B3307">
        <w:t xml:space="preserve">take into account </w:t>
      </w:r>
      <w:r w:rsidR="009E1D45">
        <w:t>threats of a much</w:t>
      </w:r>
      <w:r w:rsidR="003D28B7">
        <w:t xml:space="preserve"> different, and more intimate</w:t>
      </w:r>
      <w:r w:rsidR="009E1D45">
        <w:t>, nature.</w:t>
      </w:r>
    </w:p>
    <w:p w:rsidR="00641DD7" w:rsidRDefault="00641DD7" w:rsidP="000B6439">
      <w:pPr>
        <w:pStyle w:val="BodyText"/>
        <w:widowControl w:val="0"/>
        <w:spacing w:after="0" w:line="240" w:lineRule="auto"/>
        <w:jc w:val="both"/>
      </w:pPr>
    </w:p>
    <w:p w:rsidR="00641DD7" w:rsidRDefault="00641DD7" w:rsidP="000B6439">
      <w:pPr>
        <w:pStyle w:val="BodyText"/>
        <w:widowControl w:val="0"/>
        <w:spacing w:after="0" w:line="240" w:lineRule="auto"/>
        <w:jc w:val="both"/>
      </w:pPr>
      <w:r>
        <w:tab/>
      </w:r>
      <w:r w:rsidR="00BE192B">
        <w:t xml:space="preserve">Corporations tend to adopt a similar mindset in governing their own affairs. The focus is usually outward, </w:t>
      </w:r>
      <w:r w:rsidR="00F733A9">
        <w:t xml:space="preserve">primarily </w:t>
      </w:r>
      <w:r w:rsidR="00BE192B">
        <w:t xml:space="preserve">concerned about what information and </w:t>
      </w:r>
      <w:r w:rsidR="00A33F6F">
        <w:t xml:space="preserve">data is released </w:t>
      </w:r>
      <w:r w:rsidR="007A0C4B">
        <w:t>in</w:t>
      </w:r>
      <w:r w:rsidR="00A33F6F">
        <w:t>to the public domain</w:t>
      </w:r>
      <w:r w:rsidR="00240991">
        <w:t>. Thus, for example</w:t>
      </w:r>
      <w:r w:rsidR="00BE192B">
        <w:t>, companie</w:t>
      </w:r>
      <w:r w:rsidR="00730F35">
        <w:t>s devote</w:t>
      </w:r>
      <w:r w:rsidR="00BE192B">
        <w:t xml:space="preserve"> significant resources </w:t>
      </w:r>
      <w:r w:rsidR="00730F35">
        <w:t>to</w:t>
      </w:r>
      <w:r w:rsidR="00BE192B">
        <w:t xml:space="preserve"> </w:t>
      </w:r>
      <w:r w:rsidR="00D30457">
        <w:t>analyze</w:t>
      </w:r>
      <w:r w:rsidR="00BE192B">
        <w:t xml:space="preserve"> </w:t>
      </w:r>
      <w:r w:rsidR="00931F30">
        <w:t xml:space="preserve">the material contained in their </w:t>
      </w:r>
      <w:r w:rsidR="00BE192B">
        <w:t>financial disclosu</w:t>
      </w:r>
      <w:r w:rsidR="00931F30">
        <w:t>res</w:t>
      </w:r>
      <w:r w:rsidR="00760784">
        <w:t>, t</w:t>
      </w:r>
      <w:r w:rsidR="00730F35">
        <w:t>heir respons</w:t>
      </w:r>
      <w:r w:rsidR="00D30457">
        <w:t>es t</w:t>
      </w:r>
      <w:r w:rsidR="00FD3B04">
        <w:t>o discovery requests</w:t>
      </w:r>
      <w:r w:rsidR="00760784">
        <w:t>, or the testimony of their corporate representatives. In modern times</w:t>
      </w:r>
      <w:r w:rsidR="00730F35">
        <w:t>, whole teams are charged with carefully</w:t>
      </w:r>
      <w:r w:rsidR="00FD3B04">
        <w:t xml:space="preserve"> curating and monitoring every t</w:t>
      </w:r>
      <w:r w:rsidR="00730F35">
        <w:t xml:space="preserve">weet and Facebook post bearing the company name. </w:t>
      </w:r>
      <w:r w:rsidR="00347D9B">
        <w:t>Rarely is such attention given to inter</w:t>
      </w:r>
      <w:r w:rsidR="00FD3B04">
        <w:t>nal communications and operations</w:t>
      </w:r>
      <w:r w:rsidR="00347D9B">
        <w:t>.</w:t>
      </w:r>
    </w:p>
    <w:p w:rsidR="001F2141" w:rsidRDefault="001F2141" w:rsidP="000B6439">
      <w:pPr>
        <w:pStyle w:val="BodyText"/>
        <w:widowControl w:val="0"/>
        <w:spacing w:after="0" w:line="240" w:lineRule="auto"/>
        <w:jc w:val="both"/>
      </w:pPr>
    </w:p>
    <w:p w:rsidR="001F2141" w:rsidRDefault="00DC380E" w:rsidP="000B6439">
      <w:pPr>
        <w:pStyle w:val="BodyText"/>
        <w:widowControl w:val="0"/>
        <w:spacing w:after="0" w:line="240" w:lineRule="auto"/>
        <w:jc w:val="both"/>
      </w:pPr>
      <w:r>
        <w:tab/>
        <w:t>Each</w:t>
      </w:r>
      <w:r w:rsidR="001F2141">
        <w:t xml:space="preserve"> day, companies develop and distribute countless documents and records that</w:t>
      </w:r>
      <w:r w:rsidR="00B43864">
        <w:t xml:space="preserve"> are never intended to be examined</w:t>
      </w:r>
      <w:r w:rsidR="001F2141">
        <w:t xml:space="preserve"> by the outside world. These can take </w:t>
      </w:r>
      <w:r w:rsidR="005436F0">
        <w:t>the form of board minutes, compliance</w:t>
      </w:r>
      <w:r w:rsidR="001F2141">
        <w:t xml:space="preserve"> and risk managem</w:t>
      </w:r>
      <w:r w:rsidR="00760784">
        <w:t xml:space="preserve">ent reports, or </w:t>
      </w:r>
      <w:r w:rsidR="00760784">
        <w:rPr>
          <w:i/>
        </w:rPr>
        <w:t>seemingly</w:t>
      </w:r>
      <w:r w:rsidR="00760784">
        <w:t xml:space="preserve"> benign</w:t>
      </w:r>
      <w:r w:rsidR="00F51117">
        <w:t xml:space="preserve"> employee</w:t>
      </w:r>
      <w:r w:rsidR="001F2141">
        <w:t xml:space="preserve"> emails. </w:t>
      </w:r>
      <w:r w:rsidR="00F51117">
        <w:t>The careful scrutiny applied to public materi</w:t>
      </w:r>
      <w:r w:rsidR="00760784">
        <w:t>als is largely absent from the misperceived security of their</w:t>
      </w:r>
      <w:r w:rsidR="001D3813">
        <w:t xml:space="preserve"> internal counterparts</w:t>
      </w:r>
      <w:r w:rsidR="00F51117">
        <w:t>.</w:t>
      </w:r>
      <w:r w:rsidR="00D97903">
        <w:t xml:space="preserve"> This disparity in treatment</w:t>
      </w:r>
      <w:r w:rsidR="004362BE">
        <w:t xml:space="preserve"> can have significant, and unexpected consequences.</w:t>
      </w:r>
    </w:p>
    <w:p w:rsidR="0018309E" w:rsidRDefault="0018309E" w:rsidP="000B6439">
      <w:pPr>
        <w:pStyle w:val="BodyText"/>
        <w:widowControl w:val="0"/>
        <w:spacing w:after="0" w:line="240" w:lineRule="auto"/>
        <w:jc w:val="both"/>
      </w:pPr>
    </w:p>
    <w:p w:rsidR="0018309E" w:rsidRDefault="0018309E" w:rsidP="000B6439">
      <w:pPr>
        <w:pStyle w:val="BodyText"/>
        <w:widowControl w:val="0"/>
        <w:spacing w:after="0" w:line="240" w:lineRule="auto"/>
        <w:jc w:val="both"/>
      </w:pPr>
      <w:r>
        <w:tab/>
      </w:r>
      <w:r w:rsidR="008547EF">
        <w:t>What many com</w:t>
      </w:r>
      <w:r w:rsidR="00626DE9">
        <w:t>panies fail to realize is that information intended solely for in-house use can be utilized to devastating effect. Internal memo</w:t>
      </w:r>
      <w:r w:rsidR="00DA50C1">
        <w:t>randa</w:t>
      </w:r>
      <w:r w:rsidR="00626DE9">
        <w:t>, reports, and em</w:t>
      </w:r>
      <w:r w:rsidR="00350CB2">
        <w:t>ails can effectively</w:t>
      </w:r>
      <w:r w:rsidR="00626DE9">
        <w:t xml:space="preserve"> become the centerpiece of a Department of Justice (“DOJ”)</w:t>
      </w:r>
      <w:r w:rsidR="00177D08">
        <w:t xml:space="preserve"> investigation,</w:t>
      </w:r>
      <w:r w:rsidR="00626DE9">
        <w:t xml:space="preserve"> enforcement action</w:t>
      </w:r>
      <w:r w:rsidR="00177D08">
        <w:t>,</w:t>
      </w:r>
      <w:r w:rsidR="00626DE9">
        <w:t xml:space="preserve"> or criminal prosecution</w:t>
      </w:r>
      <w:r w:rsidR="00350CB2">
        <w:t xml:space="preserve">. </w:t>
      </w:r>
      <w:r w:rsidR="00DA50C1">
        <w:t>In short</w:t>
      </w:r>
      <w:r w:rsidR="00350CB2">
        <w:t>, companies quickly realize</w:t>
      </w:r>
      <w:r w:rsidR="00B518DB">
        <w:t xml:space="preserve"> in the course of one of these proceedings</w:t>
      </w:r>
      <w:r w:rsidR="00350CB2">
        <w:t xml:space="preserve"> that </w:t>
      </w:r>
      <w:r w:rsidR="00821EAA">
        <w:t>their greatest liability</w:t>
      </w:r>
      <w:r w:rsidR="005B23E7">
        <w:t xml:space="preserve"> was not the carefully cultivated statements and figures </w:t>
      </w:r>
      <w:r w:rsidR="00067E8F">
        <w:t xml:space="preserve">that </w:t>
      </w:r>
      <w:r w:rsidR="005B23E7">
        <w:t>they</w:t>
      </w:r>
      <w:r w:rsidR="00DA50C1">
        <w:t xml:space="preserve"> </w:t>
      </w:r>
      <w:r w:rsidR="00F0237A">
        <w:t xml:space="preserve">crafted and </w:t>
      </w:r>
      <w:r w:rsidR="00DA50C1">
        <w:t xml:space="preserve">openly </w:t>
      </w:r>
      <w:r w:rsidR="00067E8F">
        <w:t>shared with the world, but</w:t>
      </w:r>
      <w:r w:rsidR="00F0237A">
        <w:t xml:space="preserve"> rather the </w:t>
      </w:r>
      <w:r w:rsidR="00067E8F">
        <w:t>content created</w:t>
      </w:r>
      <w:r w:rsidR="006B0A7B">
        <w:t xml:space="preserve"> behind the scenes.</w:t>
      </w:r>
      <w:r w:rsidR="00363D9A">
        <w:t xml:space="preserve"> Given the potential risks</w:t>
      </w:r>
      <w:r w:rsidR="00BA611C">
        <w:t xml:space="preserve"> posed by</w:t>
      </w:r>
      <w:r w:rsidR="00B75D17">
        <w:t xml:space="preserve"> the latter category</w:t>
      </w:r>
      <w:r w:rsidR="00363D9A">
        <w:t>, companies are wise to be proactive and ensure that they</w:t>
      </w:r>
      <w:r w:rsidR="00CB0145">
        <w:t xml:space="preserve"> have taken </w:t>
      </w:r>
      <w:r w:rsidR="002666E7">
        <w:t xml:space="preserve">appropriate steps to protect themselves </w:t>
      </w:r>
      <w:r w:rsidR="00736986">
        <w:t>from self-inflicted damage.</w:t>
      </w:r>
    </w:p>
    <w:p w:rsidR="00DA50C1" w:rsidRDefault="00DA50C1" w:rsidP="000B6439">
      <w:pPr>
        <w:pStyle w:val="BodyText"/>
        <w:widowControl w:val="0"/>
        <w:spacing w:after="0" w:line="240" w:lineRule="auto"/>
        <w:jc w:val="both"/>
      </w:pPr>
    </w:p>
    <w:p w:rsidR="00DA50C1" w:rsidRDefault="00DA50C1" w:rsidP="000B6439">
      <w:pPr>
        <w:pStyle w:val="BodyText"/>
        <w:widowControl w:val="0"/>
        <w:spacing w:after="0" w:line="240" w:lineRule="auto"/>
        <w:jc w:val="both"/>
        <w:rPr>
          <w:b/>
          <w:sz w:val="28"/>
          <w:szCs w:val="28"/>
        </w:rPr>
      </w:pPr>
      <w:r>
        <w:tab/>
      </w:r>
      <w:r w:rsidR="00BB5DE1" w:rsidRPr="00BB5DE1">
        <w:rPr>
          <w:b/>
          <w:sz w:val="28"/>
          <w:szCs w:val="28"/>
        </w:rPr>
        <w:t>II.</w:t>
      </w:r>
      <w:r w:rsidR="00BB5DE1" w:rsidRPr="00BB5DE1">
        <w:rPr>
          <w:b/>
          <w:sz w:val="28"/>
          <w:szCs w:val="28"/>
        </w:rPr>
        <w:tab/>
      </w:r>
      <w:r w:rsidR="00BB5DE1">
        <w:rPr>
          <w:b/>
          <w:sz w:val="28"/>
          <w:szCs w:val="28"/>
        </w:rPr>
        <w:t>The Enemies We Know</w:t>
      </w:r>
    </w:p>
    <w:p w:rsidR="00256F44" w:rsidRDefault="00256F44" w:rsidP="000B6439">
      <w:pPr>
        <w:pStyle w:val="BodyText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256F44" w:rsidRDefault="00256F44" w:rsidP="000B6439">
      <w:pPr>
        <w:pStyle w:val="BodyText"/>
        <w:widowControl w:val="0"/>
        <w:spacing w:after="0" w:line="240" w:lineRule="auto"/>
        <w:jc w:val="both"/>
      </w:pPr>
      <w:r>
        <w:rPr>
          <w:b/>
          <w:sz w:val="28"/>
          <w:szCs w:val="28"/>
        </w:rPr>
        <w:tab/>
      </w:r>
      <w:r>
        <w:t xml:space="preserve">Before </w:t>
      </w:r>
      <w:r w:rsidR="00DF5D0D">
        <w:t xml:space="preserve">discussing </w:t>
      </w:r>
      <w:r w:rsidR="00812080">
        <w:t>the enemy within</w:t>
      </w:r>
      <w:r w:rsidR="00DC380E">
        <w:t>, it makes sense to first mention a few of the most common exte</w:t>
      </w:r>
      <w:r w:rsidR="00812080">
        <w:t>rnal adversaries</w:t>
      </w:r>
      <w:r w:rsidR="00DC380E">
        <w:t xml:space="preserve"> that companies face every day. </w:t>
      </w:r>
      <w:r w:rsidR="006B3B97">
        <w:t>These entities have a wide array of weapons at their disposal</w:t>
      </w:r>
      <w:r w:rsidR="005B604A">
        <w:t xml:space="preserve"> with </w:t>
      </w:r>
      <w:r w:rsidR="00F17CD1">
        <w:t>the po</w:t>
      </w:r>
      <w:r w:rsidR="001722E5">
        <w:t>tential to upend their chosen</w:t>
      </w:r>
      <w:r w:rsidR="00F17CD1">
        <w:t xml:space="preserve"> targets. As such, companies should</w:t>
      </w:r>
      <w:r w:rsidR="00A27F51">
        <w:t xml:space="preserve"> not pursue any course of action without first considering p</w:t>
      </w:r>
      <w:r w:rsidR="002014D7">
        <w:t>ossible</w:t>
      </w:r>
      <w:r w:rsidR="00A27F51">
        <w:t xml:space="preserve"> repercussions </w:t>
      </w:r>
      <w:r w:rsidR="00F17CD1">
        <w:t>w</w:t>
      </w:r>
      <w:r w:rsidR="00A27F51">
        <w:t xml:space="preserve">ith the </w:t>
      </w:r>
      <w:r w:rsidR="00A27F51">
        <w:lastRenderedPageBreak/>
        <w:t>following actors</w:t>
      </w:r>
      <w:r w:rsidR="00F17CD1">
        <w:t>.</w:t>
      </w:r>
    </w:p>
    <w:p w:rsidR="00F17CD1" w:rsidRDefault="00F17CD1" w:rsidP="000B6439">
      <w:pPr>
        <w:pStyle w:val="BodyText"/>
        <w:widowControl w:val="0"/>
        <w:spacing w:after="0" w:line="240" w:lineRule="auto"/>
        <w:jc w:val="both"/>
      </w:pPr>
    </w:p>
    <w:p w:rsidR="00066CA6" w:rsidRPr="00B9295F" w:rsidRDefault="0070013C" w:rsidP="00B9295F">
      <w:pPr>
        <w:pStyle w:val="BodyText"/>
        <w:widowControl w:val="0"/>
        <w:spacing w:line="240" w:lineRule="auto"/>
        <w:jc w:val="both"/>
        <w:rPr>
          <w:b/>
        </w:rPr>
      </w:pPr>
      <w:r>
        <w:rPr>
          <w:b/>
        </w:rPr>
        <w:t>A.</w:t>
      </w:r>
      <w:r>
        <w:rPr>
          <w:b/>
        </w:rPr>
        <w:tab/>
        <w:t>The Department of Justice</w:t>
      </w:r>
    </w:p>
    <w:p w:rsidR="00F17CD1" w:rsidRDefault="00DE2BFA" w:rsidP="000B6439">
      <w:pPr>
        <w:pStyle w:val="BodyText"/>
        <w:widowControl w:val="0"/>
        <w:spacing w:after="0" w:line="240" w:lineRule="auto"/>
        <w:jc w:val="both"/>
      </w:pPr>
      <w:r>
        <w:tab/>
      </w:r>
      <w:r w:rsidR="003F2D8E">
        <w:t>The DOJ is arguably the most formidable outside opponent that a company will ever face.</w:t>
      </w:r>
      <w:r w:rsidR="0045179F">
        <w:t xml:space="preserve"> One of the primary reasons for this is the DOJ’s ability to use civil investigative demands (“CIDs</w:t>
      </w:r>
      <w:r w:rsidR="00E16E8C">
        <w:t>”) to gain</w:t>
      </w:r>
      <w:r w:rsidR="0045179F">
        <w:t xml:space="preserve"> significant leverage over a company.</w:t>
      </w:r>
      <w:r w:rsidR="00720BBC">
        <w:t xml:space="preserve"> The False Claims Act (“FCA”)</w:t>
      </w:r>
      <w:r w:rsidR="00CC5DBB">
        <w:rPr>
          <w:rStyle w:val="FootnoteReference"/>
        </w:rPr>
        <w:footnoteReference w:id="1"/>
      </w:r>
      <w:r w:rsidR="00720BBC">
        <w:t xml:space="preserve"> allows the DOJ to issue a CID where there exis</w:t>
      </w:r>
      <w:r w:rsidR="00172EE9">
        <w:t xml:space="preserve">ts </w:t>
      </w:r>
      <w:r w:rsidR="007D56C3">
        <w:t>“</w:t>
      </w:r>
      <w:r w:rsidR="007D56C3" w:rsidRPr="000B25D5">
        <w:t>reason to believe that any person may be in possession, custody, or control of any documentary material or information relevant to a fal</w:t>
      </w:r>
      <w:r w:rsidR="007D56C3">
        <w:t>se claims law investigation . . .</w:t>
      </w:r>
      <w:r w:rsidR="00172EE9">
        <w:t xml:space="preserve"> .</w:t>
      </w:r>
      <w:r w:rsidR="007D56C3">
        <w:t>”</w:t>
      </w:r>
      <w:r w:rsidR="00172EE9">
        <w:rPr>
          <w:rStyle w:val="FootnoteReference"/>
        </w:rPr>
        <w:footnoteReference w:id="2"/>
      </w:r>
      <w:r w:rsidR="00172EE9">
        <w:t xml:space="preserve"> CIDs are powerful, pre-lawsuit administration tools whereby the government can collect </w:t>
      </w:r>
      <w:r w:rsidR="00172EE9" w:rsidRPr="00C76669">
        <w:t>documents, propound interrog</w:t>
      </w:r>
      <w:r w:rsidR="00172EE9">
        <w:t>atories, and conduct depositions.</w:t>
      </w:r>
      <w:r w:rsidR="00172EE9">
        <w:rPr>
          <w:rStyle w:val="FootnoteReference"/>
        </w:rPr>
        <w:footnoteReference w:id="3"/>
      </w:r>
      <w:r w:rsidR="007F5C76">
        <w:t xml:space="preserve"> Moreover, because CIDs</w:t>
      </w:r>
      <w:r w:rsidR="001F3AA0">
        <w:t xml:space="preserve"> are conducted prior to the filing of a </w:t>
      </w:r>
      <w:r w:rsidR="007F5C76">
        <w:t>lawsuit, the targeted entity does not get the benefit</w:t>
      </w:r>
      <w:r w:rsidR="00A36EB8">
        <w:t xml:space="preserve"> of conducting discovery that might undermine the basis for the CID</w:t>
      </w:r>
      <w:r w:rsidR="007F5C76">
        <w:t>.</w:t>
      </w:r>
    </w:p>
    <w:p w:rsidR="00424783" w:rsidRDefault="00424783" w:rsidP="000B6439">
      <w:pPr>
        <w:pStyle w:val="BodyText"/>
        <w:widowControl w:val="0"/>
        <w:spacing w:after="0" w:line="240" w:lineRule="auto"/>
        <w:jc w:val="both"/>
      </w:pPr>
    </w:p>
    <w:p w:rsidR="00424783" w:rsidRDefault="00424783" w:rsidP="000B6439">
      <w:pPr>
        <w:pStyle w:val="BodyText"/>
        <w:widowControl w:val="0"/>
        <w:spacing w:after="0" w:line="240" w:lineRule="auto"/>
        <w:jc w:val="both"/>
      </w:pPr>
      <w:r>
        <w:tab/>
      </w:r>
      <w:r w:rsidR="009018C5">
        <w:t>The FC</w:t>
      </w:r>
      <w:r w:rsidR="00075B0C">
        <w:t>A underwent</w:t>
      </w:r>
      <w:r w:rsidR="009018C5">
        <w:t xml:space="preserve"> significant changes during the Obama </w:t>
      </w:r>
      <w:r w:rsidR="003A44F1">
        <w:t>Administration</w:t>
      </w:r>
      <w:r w:rsidR="009018C5">
        <w:t xml:space="preserve"> which</w:t>
      </w:r>
      <w:r w:rsidR="00142149">
        <w:t xml:space="preserve"> </w:t>
      </w:r>
      <w:r w:rsidR="00370E3A">
        <w:t>subsequently</w:t>
      </w:r>
      <w:r w:rsidR="009018C5">
        <w:t xml:space="preserve"> gave the DOJ more flexibility to issue CIDs.</w:t>
      </w:r>
      <w:r w:rsidR="00B41841">
        <w:t xml:space="preserve"> This change happened on May 20, 2009</w:t>
      </w:r>
      <w:r w:rsidR="00E16E8C">
        <w:t>,</w:t>
      </w:r>
      <w:r w:rsidR="00B41841">
        <w:t xml:space="preserve"> when Congress </w:t>
      </w:r>
      <w:r w:rsidR="0056588B">
        <w:t xml:space="preserve">passed the Fraud </w:t>
      </w:r>
      <w:r w:rsidR="003C52F5">
        <w:t>Enforcement and Recovery Act of 2009 (“FERA”).</w:t>
      </w:r>
      <w:r w:rsidR="003C52F5">
        <w:rPr>
          <w:rStyle w:val="FootnoteReference"/>
        </w:rPr>
        <w:footnoteReference w:id="4"/>
      </w:r>
      <w:r w:rsidR="00F9741E">
        <w:t xml:space="preserve"> Previously,</w:t>
      </w:r>
      <w:r w:rsidR="00E16E8C">
        <w:t xml:space="preserve"> the Attorney General </w:t>
      </w:r>
      <w:r w:rsidR="00F9741E">
        <w:t>had to personally</w:t>
      </w:r>
      <w:r w:rsidR="00E16E8C">
        <w:t xml:space="preserve"> approve all CID requests</w:t>
      </w:r>
      <w:r w:rsidR="001B5E1A">
        <w:t>; however, the FERA amended the FCA to allow lower level officials within the DOJ (e.g.</w:t>
      </w:r>
      <w:r w:rsidR="00493B5E">
        <w:t>,</w:t>
      </w:r>
      <w:r w:rsidR="001B5E1A">
        <w:t xml:space="preserve"> an individual U.S. Attorney) to issue CIDs.</w:t>
      </w:r>
      <w:r w:rsidR="001B5E1A">
        <w:rPr>
          <w:rStyle w:val="FootnoteReference"/>
        </w:rPr>
        <w:footnoteReference w:id="5"/>
      </w:r>
      <w:r w:rsidR="00142149">
        <w:t xml:space="preserve"> </w:t>
      </w:r>
      <w:r w:rsidR="00F05268">
        <w:t>As a result, government officials can now quickly</w:t>
      </w:r>
      <w:r w:rsidR="00370E3A">
        <w:t xml:space="preserve"> pursue C</w:t>
      </w:r>
      <w:r w:rsidR="00493B5E">
        <w:t xml:space="preserve">IDs without having to navigate the </w:t>
      </w:r>
      <w:r w:rsidR="00370E3A">
        <w:t>lengthy process of obtaining the Attorney General’s permission.</w:t>
      </w:r>
      <w:r w:rsidR="001C43E0">
        <w:rPr>
          <w:rStyle w:val="FootnoteReference"/>
        </w:rPr>
        <w:footnoteReference w:id="6"/>
      </w:r>
    </w:p>
    <w:p w:rsidR="005F1C65" w:rsidRDefault="005F1C65" w:rsidP="000B6439">
      <w:pPr>
        <w:pStyle w:val="BodyText"/>
        <w:widowControl w:val="0"/>
        <w:spacing w:after="0" w:line="240" w:lineRule="auto"/>
        <w:jc w:val="both"/>
      </w:pPr>
    </w:p>
    <w:p w:rsidR="00476766" w:rsidRDefault="005F1C65" w:rsidP="000B6439">
      <w:pPr>
        <w:pStyle w:val="BodyText"/>
        <w:widowControl w:val="0"/>
        <w:spacing w:after="0" w:line="240" w:lineRule="auto"/>
        <w:jc w:val="both"/>
      </w:pPr>
      <w:r>
        <w:tab/>
        <w:t>The FERA amendments to the FCA made a signi</w:t>
      </w:r>
      <w:r w:rsidR="00715343">
        <w:t xml:space="preserve">ficant impact. </w:t>
      </w:r>
      <w:r w:rsidR="00715343" w:rsidRPr="00715343">
        <w:t xml:space="preserve">In 2012, </w:t>
      </w:r>
      <w:r w:rsidR="0059199D">
        <w:t xml:space="preserve">Tony West, the head of </w:t>
      </w:r>
      <w:r w:rsidR="001B4F5F">
        <w:t xml:space="preserve">the </w:t>
      </w:r>
      <w:r w:rsidR="0059199D">
        <w:t>DOJ’s Civil D</w:t>
      </w:r>
      <w:r w:rsidR="00715343" w:rsidRPr="00715343">
        <w:t>iv</w:t>
      </w:r>
      <w:r w:rsidR="00715343">
        <w:t>ision</w:t>
      </w:r>
      <w:r w:rsidR="00493B5E">
        <w:t>,</w:t>
      </w:r>
      <w:r w:rsidR="00715343">
        <w:t xml:space="preserve"> estimated that it filed six times</w:t>
      </w:r>
      <w:r w:rsidR="002D2EE9">
        <w:t xml:space="preserve"> as many CIDs</w:t>
      </w:r>
      <w:r w:rsidR="00715343" w:rsidRPr="00715343">
        <w:t xml:space="preserve"> as before the FERA amendmen</w:t>
      </w:r>
      <w:r w:rsidR="00715343">
        <w:t>ts.</w:t>
      </w:r>
      <w:r w:rsidR="0059199D">
        <w:rPr>
          <w:rStyle w:val="FootnoteReference"/>
        </w:rPr>
        <w:footnoteReference w:id="7"/>
      </w:r>
      <w:r w:rsidR="00C82173">
        <w:t xml:space="preserve"> </w:t>
      </w:r>
      <w:r w:rsidR="00D15A9A">
        <w:t xml:space="preserve">Consequently, the Obama DOJ set </w:t>
      </w:r>
      <w:r w:rsidR="00B37F28">
        <w:t>a record</w:t>
      </w:r>
      <w:r w:rsidR="00D15A9A">
        <w:t xml:space="preserve"> for money recovered under the FCA in a single year,</w:t>
      </w:r>
      <w:r w:rsidR="00D15A9A">
        <w:rPr>
          <w:rStyle w:val="FootnoteReference"/>
        </w:rPr>
        <w:footnoteReference w:id="8"/>
      </w:r>
      <w:r w:rsidR="00B37F28">
        <w:t xml:space="preserve"> and recovered $31</w:t>
      </w:r>
      <w:r w:rsidR="00493B5E">
        <w:t xml:space="preserve">.3 billion total under the FCA, </w:t>
      </w:r>
      <w:r w:rsidR="00B37F28">
        <w:t>or 60% of all funds claimed under the FCA during the last 30 years.</w:t>
      </w:r>
      <w:r w:rsidR="00B37F28">
        <w:rPr>
          <w:rStyle w:val="FootnoteReference"/>
        </w:rPr>
        <w:footnoteReference w:id="9"/>
      </w:r>
      <w:r w:rsidR="00476766">
        <w:t xml:space="preserve"> </w:t>
      </w:r>
    </w:p>
    <w:p w:rsidR="00476766" w:rsidRDefault="00476766" w:rsidP="000B6439">
      <w:pPr>
        <w:pStyle w:val="BodyText"/>
        <w:widowControl w:val="0"/>
        <w:spacing w:after="0" w:line="240" w:lineRule="auto"/>
        <w:jc w:val="both"/>
      </w:pPr>
    </w:p>
    <w:p w:rsidR="002D2EE9" w:rsidRDefault="00476766" w:rsidP="000B6439">
      <w:pPr>
        <w:pStyle w:val="BodyText"/>
        <w:widowControl w:val="0"/>
        <w:spacing w:after="0" w:line="240" w:lineRule="auto"/>
        <w:jc w:val="both"/>
      </w:pPr>
      <w:r>
        <w:tab/>
        <w:t xml:space="preserve">Moreover, the DOJ </w:t>
      </w:r>
      <w:r w:rsidR="0025217A">
        <w:t xml:space="preserve">has </w:t>
      </w:r>
      <w:r w:rsidR="00B97987">
        <w:t xml:space="preserve">begun to team up </w:t>
      </w:r>
      <w:r>
        <w:t>with the Consumer F</w:t>
      </w:r>
      <w:r w:rsidR="0025217A">
        <w:t xml:space="preserve">inancial </w:t>
      </w:r>
      <w:r>
        <w:t>Protection Bureau</w:t>
      </w:r>
      <w:r w:rsidR="0025217A">
        <w:t xml:space="preserve"> </w:t>
      </w:r>
      <w:r w:rsidR="0025217A">
        <w:lastRenderedPageBreak/>
        <w:t xml:space="preserve">(“CFPB”) </w:t>
      </w:r>
      <w:r w:rsidR="00D631EE">
        <w:t>to pursue actions against financial services entities.</w:t>
      </w:r>
      <w:r w:rsidR="00D631EE">
        <w:rPr>
          <w:rStyle w:val="FootnoteReference"/>
        </w:rPr>
        <w:footnoteReference w:id="10"/>
      </w:r>
      <w:r w:rsidR="007B6BC0">
        <w:t xml:space="preserve"> On December 6, 2012, the DOJ and CFPB signed a Memorandum of Understanding to cooperate in the enforcement of federal fair lending laws.</w:t>
      </w:r>
      <w:r w:rsidR="00585A09">
        <w:rPr>
          <w:rStyle w:val="FootnoteReference"/>
        </w:rPr>
        <w:footnoteReference w:id="11"/>
      </w:r>
      <w:r w:rsidR="007B6BC0">
        <w:t xml:space="preserve"> </w:t>
      </w:r>
      <w:r w:rsidR="00F162DA">
        <w:t>By its own account, the CFPB hauled in $11.7 billion during its first five years of operation (2011 – 2016).</w:t>
      </w:r>
      <w:r w:rsidR="00F162DA">
        <w:rPr>
          <w:rStyle w:val="FootnoteReference"/>
        </w:rPr>
        <w:footnoteReference w:id="12"/>
      </w:r>
      <w:r w:rsidR="00F162DA">
        <w:t xml:space="preserve"> </w:t>
      </w:r>
      <w:r w:rsidR="005A4F1A">
        <w:t xml:space="preserve">Together, these two entities have secured a number of </w:t>
      </w:r>
      <w:r w:rsidR="00FF2848">
        <w:t>multi-million dollar</w:t>
      </w:r>
      <w:r w:rsidR="002447CB">
        <w:t xml:space="preserve"> settlements against a variety of lenders and loan servicers.</w:t>
      </w:r>
      <w:r w:rsidR="00056A6B">
        <w:rPr>
          <w:rStyle w:val="FootnoteReference"/>
        </w:rPr>
        <w:footnoteReference w:id="13"/>
      </w:r>
    </w:p>
    <w:p w:rsidR="00C308D8" w:rsidRDefault="00C308D8" w:rsidP="000B6439">
      <w:pPr>
        <w:pStyle w:val="BodyText"/>
        <w:widowControl w:val="0"/>
        <w:spacing w:after="0" w:line="240" w:lineRule="auto"/>
        <w:jc w:val="both"/>
      </w:pPr>
    </w:p>
    <w:p w:rsidR="00E03FA3" w:rsidRDefault="00C308D8" w:rsidP="00DD5C09">
      <w:pPr>
        <w:pStyle w:val="BodyText"/>
        <w:widowControl w:val="0"/>
        <w:spacing w:after="0" w:line="240" w:lineRule="auto"/>
        <w:jc w:val="both"/>
        <w:rPr>
          <w:lang w:val="en"/>
        </w:rPr>
      </w:pPr>
      <w:r>
        <w:tab/>
      </w:r>
      <w:r w:rsidR="009151AB">
        <w:t>Beyond concerns with the DOJ’s increased use of CIDs</w:t>
      </w:r>
      <w:r w:rsidR="004913B1">
        <w:t xml:space="preserve"> and coordinated enforcement actions</w:t>
      </w:r>
      <w:r w:rsidR="009151AB">
        <w:t xml:space="preserve">, </w:t>
      </w:r>
      <w:r w:rsidR="00D34787">
        <w:t xml:space="preserve">the Department </w:t>
      </w:r>
      <w:r w:rsidR="00DD5C09">
        <w:t xml:space="preserve">also </w:t>
      </w:r>
      <w:r w:rsidR="00D34787">
        <w:t xml:space="preserve">issued new guidance in 2015 that </w:t>
      </w:r>
      <w:r w:rsidR="00D34787" w:rsidRPr="00D33477">
        <w:rPr>
          <w:i/>
        </w:rPr>
        <w:t>prioritized</w:t>
      </w:r>
      <w:r w:rsidR="00D34787">
        <w:t xml:space="preserve"> prosecution of c</w:t>
      </w:r>
      <w:r w:rsidR="000B6439">
        <w:t>ompany executives.</w:t>
      </w:r>
      <w:r w:rsidR="000B6439">
        <w:rPr>
          <w:rStyle w:val="FootnoteReference"/>
        </w:rPr>
        <w:footnoteReference w:id="14"/>
      </w:r>
      <w:r w:rsidR="00DD5C09">
        <w:t xml:space="preserve"> This guidance came in the form of a September 9, 201</w:t>
      </w:r>
      <w:r w:rsidR="00AC6D3E">
        <w:t xml:space="preserve">5 memorandum, </w:t>
      </w:r>
      <w:r w:rsidR="00DD5C09">
        <w:t>dubbed “The Yates Memo</w:t>
      </w:r>
      <w:r w:rsidR="00AC6D3E">
        <w:t>,</w:t>
      </w:r>
      <w:r w:rsidR="00DD5C09">
        <w:t xml:space="preserve">” wherein Deputy Attorney General Sally Q. Yates </w:t>
      </w:r>
      <w:r w:rsidR="00493B5E">
        <w:t>declared</w:t>
      </w:r>
      <w:r w:rsidR="00DD5C09">
        <w:t>, “</w:t>
      </w:r>
      <w:r w:rsidR="00DD5C09" w:rsidRPr="00DD5C09">
        <w:t>One of the most effective ways to combat corporate misconduct is by seeking accountability from the individuals who perpetrated the wrongdoing</w:t>
      </w:r>
      <w:r w:rsidR="00DD5C09">
        <w:t>.”</w:t>
      </w:r>
      <w:r w:rsidR="00B32BCA">
        <w:rPr>
          <w:rStyle w:val="FootnoteReference"/>
        </w:rPr>
        <w:footnoteReference w:id="15"/>
      </w:r>
      <w:r w:rsidR="00D85722">
        <w:t xml:space="preserve"> Of note, the Yates Memo directed DOJ attorneys to </w:t>
      </w:r>
      <w:r w:rsidR="003E115D">
        <w:t>“</w:t>
      </w:r>
      <w:r w:rsidR="003E115D" w:rsidRPr="003E115D">
        <w:t>focus on individual wrongdoing from the very beginning of any investigation of corporate misconduct</w:t>
      </w:r>
      <w:r w:rsidR="003E115D">
        <w:t>.”</w:t>
      </w:r>
      <w:r w:rsidR="003E115D">
        <w:rPr>
          <w:rStyle w:val="FootnoteReference"/>
        </w:rPr>
        <w:footnoteReference w:id="16"/>
      </w:r>
      <w:r w:rsidR="00402791">
        <w:t xml:space="preserve"> Moreover, the Yates </w:t>
      </w:r>
      <w:r w:rsidR="00266F20">
        <w:t>Memo instructed that</w:t>
      </w:r>
      <w:r w:rsidR="00402791">
        <w:t xml:space="preserve"> </w:t>
      </w:r>
      <w:r w:rsidR="00266F20" w:rsidRPr="00266F20">
        <w:rPr>
          <w:lang w:val="en"/>
        </w:rPr>
        <w:t>c</w:t>
      </w:r>
      <w:r w:rsidR="00266F20">
        <w:rPr>
          <w:lang w:val="en"/>
        </w:rPr>
        <w:t xml:space="preserve">orporations should not </w:t>
      </w:r>
      <w:r w:rsidR="00266F20" w:rsidRPr="00266F20">
        <w:rPr>
          <w:lang w:val="en"/>
        </w:rPr>
        <w:t>receive credit for cooperating in an investigation if they di</w:t>
      </w:r>
      <w:r w:rsidR="00266F20">
        <w:rPr>
          <w:lang w:val="en"/>
        </w:rPr>
        <w:t>d not turn over</w:t>
      </w:r>
      <w:r w:rsidR="00266F20" w:rsidRPr="00266F20">
        <w:rPr>
          <w:lang w:val="en"/>
        </w:rPr>
        <w:t xml:space="preserve"> “all relevant facts relating to the individuals responsible for the misconduct</w:t>
      </w:r>
      <w:r w:rsidR="00266F20">
        <w:rPr>
          <w:lang w:val="en"/>
        </w:rPr>
        <w:t>.”</w:t>
      </w:r>
      <w:r w:rsidR="00266F20">
        <w:rPr>
          <w:rStyle w:val="FootnoteReference"/>
          <w:lang w:val="en"/>
        </w:rPr>
        <w:footnoteReference w:id="17"/>
      </w:r>
    </w:p>
    <w:p w:rsidR="00E03FA3" w:rsidRDefault="00E03FA3" w:rsidP="00DD5C09">
      <w:pPr>
        <w:pStyle w:val="BodyText"/>
        <w:widowControl w:val="0"/>
        <w:spacing w:after="0" w:line="240" w:lineRule="auto"/>
        <w:jc w:val="both"/>
        <w:rPr>
          <w:lang w:val="en"/>
        </w:rPr>
      </w:pPr>
    </w:p>
    <w:p w:rsidR="00C308D8" w:rsidRDefault="00E03FA3" w:rsidP="00DD5C09">
      <w:pPr>
        <w:pStyle w:val="BodyText"/>
        <w:widowControl w:val="0"/>
        <w:spacing w:after="0" w:line="240" w:lineRule="auto"/>
        <w:jc w:val="both"/>
        <w:rPr>
          <w:lang w:val="en"/>
        </w:rPr>
      </w:pPr>
      <w:r>
        <w:rPr>
          <w:lang w:val="en"/>
        </w:rPr>
        <w:tab/>
      </w:r>
      <w:r w:rsidR="00E15ED9">
        <w:rPr>
          <w:lang w:val="en"/>
        </w:rPr>
        <w:t xml:space="preserve"> </w:t>
      </w:r>
      <w:r w:rsidR="00743848">
        <w:rPr>
          <w:lang w:val="en"/>
        </w:rPr>
        <w:t xml:space="preserve">Although the full </w:t>
      </w:r>
      <w:r w:rsidR="00D16D0E">
        <w:rPr>
          <w:lang w:val="en"/>
        </w:rPr>
        <w:t>implications</w:t>
      </w:r>
      <w:r w:rsidR="00743848">
        <w:rPr>
          <w:lang w:val="en"/>
        </w:rPr>
        <w:t xml:space="preserve"> </w:t>
      </w:r>
      <w:r w:rsidR="004B3E27">
        <w:rPr>
          <w:lang w:val="en"/>
        </w:rPr>
        <w:t>of the Yates Memo are still un</w:t>
      </w:r>
      <w:r w:rsidR="00743848">
        <w:rPr>
          <w:lang w:val="en"/>
        </w:rPr>
        <w:t xml:space="preserve">clear, it is certain that this new directive has transformed the manner in which the DOJ is </w:t>
      </w:r>
      <w:r w:rsidR="006D0AEF">
        <w:rPr>
          <w:lang w:val="en"/>
        </w:rPr>
        <w:t>pursuing</w:t>
      </w:r>
      <w:r w:rsidR="00743848">
        <w:rPr>
          <w:lang w:val="en"/>
        </w:rPr>
        <w:t xml:space="preserve"> its cases.</w:t>
      </w:r>
      <w:r w:rsidR="00743848">
        <w:rPr>
          <w:rStyle w:val="FootnoteReference"/>
          <w:lang w:val="en"/>
        </w:rPr>
        <w:footnoteReference w:id="18"/>
      </w:r>
      <w:r w:rsidR="00241081">
        <w:rPr>
          <w:lang w:val="en"/>
        </w:rPr>
        <w:t xml:space="preserve"> </w:t>
      </w:r>
      <w:r w:rsidR="007558BC">
        <w:rPr>
          <w:lang w:val="en"/>
        </w:rPr>
        <w:t xml:space="preserve">At the onset of investigations, the government is </w:t>
      </w:r>
      <w:r w:rsidR="00D16D0E">
        <w:rPr>
          <w:lang w:val="en"/>
        </w:rPr>
        <w:t xml:space="preserve">now </w:t>
      </w:r>
      <w:r w:rsidR="007558BC">
        <w:rPr>
          <w:lang w:val="en"/>
        </w:rPr>
        <w:t>communicating with corporations about executives of special interest, prompting defense counsel to present “Yates binders” contain</w:t>
      </w:r>
      <w:r w:rsidR="0025229C">
        <w:rPr>
          <w:lang w:val="en"/>
        </w:rPr>
        <w:t xml:space="preserve">ing </w:t>
      </w:r>
      <w:r w:rsidR="007558BC">
        <w:rPr>
          <w:lang w:val="en"/>
        </w:rPr>
        <w:t xml:space="preserve">documents and </w:t>
      </w:r>
      <w:r w:rsidR="007558BC">
        <w:rPr>
          <w:lang w:val="en"/>
        </w:rPr>
        <w:lastRenderedPageBreak/>
        <w:t>emails pertaining to the individual</w:t>
      </w:r>
      <w:r w:rsidR="00A44399">
        <w:rPr>
          <w:lang w:val="en"/>
        </w:rPr>
        <w:t>s</w:t>
      </w:r>
      <w:r w:rsidR="007558BC">
        <w:rPr>
          <w:lang w:val="en"/>
        </w:rPr>
        <w:t xml:space="preserve"> in question.</w:t>
      </w:r>
      <w:r w:rsidR="007558BC">
        <w:rPr>
          <w:rStyle w:val="FootnoteReference"/>
          <w:lang w:val="en"/>
        </w:rPr>
        <w:footnoteReference w:id="19"/>
      </w:r>
      <w:r w:rsidR="007558BC">
        <w:rPr>
          <w:lang w:val="en"/>
        </w:rPr>
        <w:t xml:space="preserve"> </w:t>
      </w:r>
      <w:r w:rsidR="008823A7">
        <w:rPr>
          <w:lang w:val="en"/>
        </w:rPr>
        <w:t>One former Assistant U.S.</w:t>
      </w:r>
      <w:r w:rsidR="00D16D0E">
        <w:rPr>
          <w:lang w:val="en"/>
        </w:rPr>
        <w:t xml:space="preserve"> Attorney observed</w:t>
      </w:r>
      <w:r w:rsidR="008823A7">
        <w:rPr>
          <w:lang w:val="en"/>
        </w:rPr>
        <w:t xml:space="preserve"> that the Yates Memo</w:t>
      </w:r>
      <w:r w:rsidR="00BA376C">
        <w:rPr>
          <w:lang w:val="en"/>
        </w:rPr>
        <w:t xml:space="preserve"> is leading to </w:t>
      </w:r>
      <w:r w:rsidR="008823A7">
        <w:rPr>
          <w:lang w:val="en"/>
        </w:rPr>
        <w:t>increased cooperation between the different arms of the DOJ resulting in “</w:t>
      </w:r>
      <w:r w:rsidR="008823A7" w:rsidRPr="008823A7">
        <w:rPr>
          <w:lang w:val="en"/>
        </w:rPr>
        <w:t>a multi-faceted approach to individual culpability that each and every subject of an investigation should assume is being used to assure they are held accountable.</w:t>
      </w:r>
      <w:r w:rsidR="008823A7">
        <w:rPr>
          <w:lang w:val="en"/>
        </w:rPr>
        <w:t>”</w:t>
      </w:r>
      <w:r w:rsidR="008823A7">
        <w:rPr>
          <w:rStyle w:val="FootnoteReference"/>
          <w:lang w:val="en"/>
        </w:rPr>
        <w:footnoteReference w:id="20"/>
      </w:r>
      <w:r w:rsidR="00E679D6">
        <w:rPr>
          <w:lang w:val="en"/>
        </w:rPr>
        <w:t xml:space="preserve"> In sum, due to </w:t>
      </w:r>
      <w:r w:rsidR="00BA376C">
        <w:rPr>
          <w:lang w:val="en"/>
        </w:rPr>
        <w:t xml:space="preserve">this new </w:t>
      </w:r>
      <w:r w:rsidR="00E679D6">
        <w:rPr>
          <w:lang w:val="en"/>
        </w:rPr>
        <w:t xml:space="preserve">DOJ </w:t>
      </w:r>
      <w:r w:rsidR="00BA376C">
        <w:rPr>
          <w:lang w:val="en"/>
        </w:rPr>
        <w:t xml:space="preserve">strategy, company executives </w:t>
      </w:r>
      <w:r w:rsidR="00E679D6">
        <w:rPr>
          <w:lang w:val="en"/>
        </w:rPr>
        <w:t>must take extra precautions to protect them</w:t>
      </w:r>
      <w:r w:rsidR="00C44641">
        <w:rPr>
          <w:lang w:val="en"/>
        </w:rPr>
        <w:t xml:space="preserve">selves, in addition to </w:t>
      </w:r>
      <w:r w:rsidR="00E679D6">
        <w:rPr>
          <w:lang w:val="en"/>
        </w:rPr>
        <w:t>their respective corporations.</w:t>
      </w:r>
    </w:p>
    <w:p w:rsidR="00B11659" w:rsidRDefault="00B11659" w:rsidP="00DD5C09">
      <w:pPr>
        <w:pStyle w:val="BodyText"/>
        <w:widowControl w:val="0"/>
        <w:spacing w:after="0" w:line="240" w:lineRule="auto"/>
        <w:jc w:val="both"/>
        <w:rPr>
          <w:lang w:val="en"/>
        </w:rPr>
      </w:pPr>
    </w:p>
    <w:p w:rsidR="0070013C" w:rsidRDefault="0070013C" w:rsidP="00B9295F">
      <w:pPr>
        <w:pStyle w:val="BodyText"/>
        <w:widowControl w:val="0"/>
        <w:jc w:val="both"/>
        <w:rPr>
          <w:lang w:val="en"/>
        </w:rPr>
      </w:pPr>
      <w:r>
        <w:rPr>
          <w:b/>
          <w:lang w:val="en"/>
        </w:rPr>
        <w:t>B.</w:t>
      </w:r>
      <w:r>
        <w:rPr>
          <w:b/>
          <w:lang w:val="en"/>
        </w:rPr>
        <w:tab/>
        <w:t>The Securities and Exchange Commission</w:t>
      </w:r>
      <w:r w:rsidR="00B11659">
        <w:rPr>
          <w:lang w:val="en"/>
        </w:rPr>
        <w:tab/>
      </w:r>
    </w:p>
    <w:p w:rsidR="001B2D3A" w:rsidRDefault="0070013C" w:rsidP="001B2D3A">
      <w:pPr>
        <w:pStyle w:val="BodyText"/>
        <w:widowControl w:val="0"/>
        <w:spacing w:after="0"/>
        <w:jc w:val="both"/>
      </w:pPr>
      <w:r>
        <w:rPr>
          <w:lang w:val="en"/>
        </w:rPr>
        <w:tab/>
      </w:r>
      <w:r w:rsidR="00243007">
        <w:rPr>
          <w:lang w:val="en"/>
        </w:rPr>
        <w:t>T</w:t>
      </w:r>
      <w:r w:rsidR="00B11659">
        <w:rPr>
          <w:lang w:val="en"/>
        </w:rPr>
        <w:t>he Securities and Exchange Commission (“SEC”)</w:t>
      </w:r>
      <w:r w:rsidR="00482707">
        <w:rPr>
          <w:lang w:val="en"/>
        </w:rPr>
        <w:t xml:space="preserve"> also commands</w:t>
      </w:r>
      <w:r w:rsidR="00100615">
        <w:rPr>
          <w:lang w:val="en"/>
        </w:rPr>
        <w:t xml:space="preserve"> extensive </w:t>
      </w:r>
      <w:r w:rsidR="00482707">
        <w:rPr>
          <w:lang w:val="en"/>
        </w:rPr>
        <w:t xml:space="preserve">regulatory </w:t>
      </w:r>
      <w:r w:rsidR="002C6889">
        <w:rPr>
          <w:lang w:val="en"/>
        </w:rPr>
        <w:t>powers</w:t>
      </w:r>
      <w:r w:rsidR="00686167">
        <w:rPr>
          <w:lang w:val="en"/>
        </w:rPr>
        <w:t xml:space="preserve"> that can cause serious issues</w:t>
      </w:r>
      <w:r w:rsidR="002C6889">
        <w:rPr>
          <w:lang w:val="en"/>
        </w:rPr>
        <w:t xml:space="preserve"> for companies.</w:t>
      </w:r>
      <w:r w:rsidR="002B3185">
        <w:rPr>
          <w:lang w:val="en"/>
        </w:rPr>
        <w:t xml:space="preserve"> All publicly-traded companies must disclose their financials through quarterly and yearly form</w:t>
      </w:r>
      <w:r w:rsidR="00EB109F">
        <w:rPr>
          <w:lang w:val="en"/>
        </w:rPr>
        <w:t>s</w:t>
      </w:r>
      <w:r w:rsidR="002B3185">
        <w:rPr>
          <w:lang w:val="en"/>
        </w:rPr>
        <w:t xml:space="preserve"> (e.g.</w:t>
      </w:r>
      <w:r w:rsidR="00564F34">
        <w:rPr>
          <w:lang w:val="en"/>
        </w:rPr>
        <w:t>,</w:t>
      </w:r>
      <w:r w:rsidR="002B3185">
        <w:rPr>
          <w:lang w:val="en"/>
        </w:rPr>
        <w:t xml:space="preserve"> 10-Q, 10-K, and 8-K forms) as well as offering documents to investors.</w:t>
      </w:r>
      <w:r w:rsidR="00686167">
        <w:rPr>
          <w:rStyle w:val="FootnoteReference"/>
          <w:lang w:val="en"/>
        </w:rPr>
        <w:footnoteReference w:id="21"/>
      </w:r>
      <w:r w:rsidR="006C5FEF">
        <w:rPr>
          <w:lang w:val="en"/>
        </w:rPr>
        <w:t xml:space="preserve"> </w:t>
      </w:r>
      <w:r w:rsidR="006C5FEF">
        <w:t xml:space="preserve">Within </w:t>
      </w:r>
      <w:r w:rsidR="00564F34">
        <w:t>their 10-Q and 10-K forms</w:t>
      </w:r>
      <w:r w:rsidR="006C5FEF">
        <w:t xml:space="preserve"> specifically, companies are required to disclose “</w:t>
      </w:r>
      <w:r w:rsidR="006C5FEF" w:rsidRPr="005C1965">
        <w:t>any known trends or uncertainties that have had or that the registrant reasonably</w:t>
      </w:r>
      <w:r w:rsidR="006C5FEF">
        <w:t xml:space="preserve"> </w:t>
      </w:r>
      <w:r w:rsidR="006C5FEF" w:rsidRPr="005C1965">
        <w:t>expects will have a material favorable or unfavorable impact on net sales or revenues or</w:t>
      </w:r>
      <w:r w:rsidR="006C5FEF">
        <w:t xml:space="preserve"> </w:t>
      </w:r>
      <w:r w:rsidR="006C5FEF" w:rsidRPr="005C1965">
        <w:t>income from continuing operations</w:t>
      </w:r>
      <w:r w:rsidR="006C5FEF">
        <w:t>.”</w:t>
      </w:r>
      <w:r w:rsidR="00306DDB">
        <w:rPr>
          <w:rStyle w:val="FootnoteReference"/>
        </w:rPr>
        <w:footnoteReference w:id="22"/>
      </w:r>
      <w:r w:rsidR="00D36CBF">
        <w:t xml:space="preserve"> In other words, the SEC requires disclosure </w:t>
      </w:r>
      <w:r w:rsidR="00564F34">
        <w:t>of known uncertainties</w:t>
      </w:r>
      <w:r w:rsidR="005F1717" w:rsidRPr="005F1717">
        <w:t xml:space="preserve"> regardi</w:t>
      </w:r>
      <w:r w:rsidR="005F1717">
        <w:t xml:space="preserve">ng potential returns of product </w:t>
      </w:r>
      <w:r w:rsidR="005F1717" w:rsidRPr="005F1717">
        <w:t>and risk to future income</w:t>
      </w:r>
      <w:r w:rsidR="005F1717">
        <w:t>.</w:t>
      </w:r>
      <w:r w:rsidR="005F1717">
        <w:rPr>
          <w:rStyle w:val="FootnoteReference"/>
        </w:rPr>
        <w:footnoteReference w:id="23"/>
      </w:r>
      <w:r w:rsidR="00C32A8D">
        <w:t xml:space="preserve"> Inaccurate reporting on these disclosures </w:t>
      </w:r>
      <w:r w:rsidR="00637B80">
        <w:t xml:space="preserve">can lead to </w:t>
      </w:r>
      <w:r w:rsidR="00AC356F">
        <w:t>cease-and-desists proceedings from the SEC as well as signific</w:t>
      </w:r>
      <w:r w:rsidR="00924653">
        <w:t>ant civil penalties</w:t>
      </w:r>
      <w:r w:rsidR="00AC356F">
        <w:t>.</w:t>
      </w:r>
      <w:r w:rsidR="00924653">
        <w:rPr>
          <w:rStyle w:val="FootnoteReference"/>
        </w:rPr>
        <w:footnoteReference w:id="24"/>
      </w:r>
      <w:r w:rsidR="00355472">
        <w:t xml:space="preserve"> As evidence of the SEC’s intent to wield its powers, during the 2016 Fiscal Year, the SEC filed a record 868 enforcement actions and obtained judgments and orders totaling more than $4 billion in disgorgement and penalties.</w:t>
      </w:r>
      <w:r w:rsidR="00355472">
        <w:rPr>
          <w:rStyle w:val="FootnoteReference"/>
        </w:rPr>
        <w:footnoteReference w:id="25"/>
      </w:r>
    </w:p>
    <w:p w:rsidR="00537B01" w:rsidRDefault="00537B01" w:rsidP="001B2D3A">
      <w:pPr>
        <w:pStyle w:val="BodyText"/>
        <w:widowControl w:val="0"/>
        <w:spacing w:after="0"/>
        <w:jc w:val="both"/>
      </w:pPr>
    </w:p>
    <w:p w:rsidR="00AC7E04" w:rsidRPr="00B9295F" w:rsidRDefault="00AC7E04" w:rsidP="00B9295F">
      <w:pPr>
        <w:pStyle w:val="BodyText"/>
        <w:widowControl w:val="0"/>
        <w:jc w:val="both"/>
        <w:rPr>
          <w:b/>
        </w:rPr>
      </w:pPr>
      <w:r>
        <w:rPr>
          <w:b/>
        </w:rPr>
        <w:t>C.</w:t>
      </w:r>
      <w:r>
        <w:rPr>
          <w:b/>
        </w:rPr>
        <w:tab/>
        <w:t>The Food and Drug Administration</w:t>
      </w:r>
    </w:p>
    <w:p w:rsidR="001B2D3A" w:rsidRDefault="001B2D3A" w:rsidP="001B2D3A">
      <w:pPr>
        <w:pStyle w:val="BodyText"/>
        <w:widowControl w:val="0"/>
        <w:spacing w:after="0"/>
        <w:jc w:val="both"/>
        <w:rPr>
          <w:lang w:val="en"/>
        </w:rPr>
      </w:pPr>
      <w:r>
        <w:tab/>
      </w:r>
      <w:r w:rsidR="00A67820">
        <w:t xml:space="preserve">One last agency that poses external threats to the companies that it regulates is the Food and </w:t>
      </w:r>
      <w:r w:rsidR="00537B01">
        <w:t xml:space="preserve">Drug Administration (“FDA”), particularly with </w:t>
      </w:r>
      <w:r w:rsidR="00A67820">
        <w:t xml:space="preserve">the authority that it </w:t>
      </w:r>
      <w:r w:rsidR="008B540F">
        <w:t>commands under</w:t>
      </w:r>
      <w:r w:rsidR="00A67820">
        <w:t xml:space="preserve"> the </w:t>
      </w:r>
      <w:r w:rsidR="00B73976">
        <w:t>Food, Drug, and Cosmetic Act</w:t>
      </w:r>
      <w:r w:rsidR="00507F72">
        <w:t xml:space="preserve"> (“FDCA”)</w:t>
      </w:r>
      <w:r w:rsidR="00B73976">
        <w:t>.</w:t>
      </w:r>
      <w:r w:rsidR="00B73976">
        <w:rPr>
          <w:rStyle w:val="FootnoteReference"/>
        </w:rPr>
        <w:footnoteReference w:id="26"/>
      </w:r>
      <w:r w:rsidR="00537B01">
        <w:t xml:space="preserve"> Of special</w:t>
      </w:r>
      <w:r w:rsidR="00507F72">
        <w:t xml:space="preserve"> concern to pharmaceutical companies is </w:t>
      </w:r>
      <w:r w:rsidR="00C4446C">
        <w:t xml:space="preserve">the prospect of </w:t>
      </w:r>
      <w:r w:rsidR="00507F72">
        <w:t xml:space="preserve">facing an FDA charge of </w:t>
      </w:r>
      <w:r w:rsidR="00C4446C">
        <w:t>“off-label” drug us</w:t>
      </w:r>
      <w:r w:rsidR="00190FB7">
        <w:t>e or promotion</w:t>
      </w:r>
      <w:r w:rsidR="00C4446C">
        <w:t xml:space="preserve">. </w:t>
      </w:r>
      <w:r w:rsidR="00507F72">
        <w:t xml:space="preserve">Under the FDCA, </w:t>
      </w:r>
      <w:r w:rsidR="00C4446C">
        <w:t>a company is required to specify the intended uses of a product in its new drug application to the FDA.</w:t>
      </w:r>
      <w:r w:rsidR="00D725A2">
        <w:rPr>
          <w:rStyle w:val="FootnoteReference"/>
        </w:rPr>
        <w:footnoteReference w:id="27"/>
      </w:r>
      <w:r w:rsidR="007929F8">
        <w:t xml:space="preserve"> </w:t>
      </w:r>
      <w:r w:rsidR="007929F8">
        <w:rPr>
          <w:lang w:val="en"/>
        </w:rPr>
        <w:t>In turn, “intended use” is</w:t>
      </w:r>
      <w:r w:rsidR="005F1643">
        <w:rPr>
          <w:lang w:val="en"/>
        </w:rPr>
        <w:t xml:space="preserve"> defined as</w:t>
      </w:r>
      <w:r w:rsidR="007929F8">
        <w:rPr>
          <w:lang w:val="en"/>
        </w:rPr>
        <w:t xml:space="preserve"> “</w:t>
      </w:r>
      <w:r w:rsidR="007929F8" w:rsidRPr="007929F8">
        <w:rPr>
          <w:lang w:val="en"/>
        </w:rPr>
        <w:t>the objective intent of the persons legally respons</w:t>
      </w:r>
      <w:r w:rsidR="007929F8">
        <w:rPr>
          <w:lang w:val="en"/>
        </w:rPr>
        <w:t>ible for the labeling of drugs.”</w:t>
      </w:r>
      <w:r w:rsidR="007929F8">
        <w:rPr>
          <w:rStyle w:val="FootnoteReference"/>
          <w:lang w:val="en"/>
        </w:rPr>
        <w:footnoteReference w:id="28"/>
      </w:r>
      <w:r w:rsidR="00B10754">
        <w:rPr>
          <w:lang w:val="en"/>
        </w:rPr>
        <w:t xml:space="preserve"> Once a new drug is approved, it may not be marketed for “off-label” uses—i.e. any use not specified </w:t>
      </w:r>
      <w:r w:rsidR="00BF677E">
        <w:rPr>
          <w:lang w:val="en"/>
        </w:rPr>
        <w:t xml:space="preserve">in the application cleared </w:t>
      </w:r>
      <w:r w:rsidR="00B10754">
        <w:rPr>
          <w:lang w:val="en"/>
        </w:rPr>
        <w:t>by the FD</w:t>
      </w:r>
      <w:r w:rsidR="00166696">
        <w:rPr>
          <w:lang w:val="en"/>
        </w:rPr>
        <w:t>A.</w:t>
      </w:r>
      <w:r w:rsidR="00166696">
        <w:rPr>
          <w:rStyle w:val="FootnoteReference"/>
          <w:lang w:val="en"/>
        </w:rPr>
        <w:footnoteReference w:id="29"/>
      </w:r>
      <w:r w:rsidR="00B33DEA">
        <w:rPr>
          <w:lang w:val="en"/>
        </w:rPr>
        <w:t xml:space="preserve"> </w:t>
      </w:r>
      <w:r w:rsidR="003B682C">
        <w:rPr>
          <w:lang w:val="en"/>
        </w:rPr>
        <w:t xml:space="preserve">Promotion of off-label </w:t>
      </w:r>
      <w:r w:rsidR="003B682C">
        <w:rPr>
          <w:lang w:val="en"/>
        </w:rPr>
        <w:lastRenderedPageBreak/>
        <w:t>uses can lead to serious action from the FDA, including civil and criminal liability.</w:t>
      </w:r>
      <w:r w:rsidR="00BF170D">
        <w:rPr>
          <w:rStyle w:val="FootnoteReference"/>
          <w:lang w:val="en"/>
        </w:rPr>
        <w:footnoteReference w:id="30"/>
      </w:r>
    </w:p>
    <w:p w:rsidR="004B21A6" w:rsidRDefault="004B21A6" w:rsidP="001B2D3A">
      <w:pPr>
        <w:pStyle w:val="BodyText"/>
        <w:widowControl w:val="0"/>
        <w:spacing w:after="0"/>
        <w:jc w:val="both"/>
        <w:rPr>
          <w:lang w:val="en"/>
        </w:rPr>
      </w:pPr>
    </w:p>
    <w:p w:rsidR="00AC7E04" w:rsidRDefault="00AC7E04" w:rsidP="00B9295F">
      <w:pPr>
        <w:pStyle w:val="BodyText"/>
        <w:widowControl w:val="0"/>
        <w:jc w:val="both"/>
        <w:rPr>
          <w:lang w:val="en"/>
        </w:rPr>
      </w:pPr>
      <w:r>
        <w:rPr>
          <w:b/>
          <w:lang w:val="en"/>
        </w:rPr>
        <w:t>D.</w:t>
      </w:r>
      <w:r>
        <w:rPr>
          <w:b/>
          <w:lang w:val="en"/>
        </w:rPr>
        <w:tab/>
      </w:r>
      <w:r w:rsidR="00502650">
        <w:rPr>
          <w:b/>
          <w:lang w:val="en"/>
        </w:rPr>
        <w:t>Private Litigation and Customer Complaints</w:t>
      </w:r>
      <w:r w:rsidR="004B21A6">
        <w:rPr>
          <w:lang w:val="en"/>
        </w:rPr>
        <w:tab/>
      </w:r>
    </w:p>
    <w:p w:rsidR="00B9295F" w:rsidRPr="00D83CEF" w:rsidRDefault="00AC7E04" w:rsidP="00D83CEF">
      <w:pPr>
        <w:pStyle w:val="BodyText"/>
        <w:widowControl w:val="0"/>
        <w:spacing w:after="0"/>
        <w:jc w:val="both"/>
      </w:pPr>
      <w:r>
        <w:rPr>
          <w:lang w:val="en"/>
        </w:rPr>
        <w:tab/>
      </w:r>
      <w:r w:rsidR="00A55EAF">
        <w:rPr>
          <w:lang w:val="en"/>
        </w:rPr>
        <w:t xml:space="preserve">Lastly, </w:t>
      </w:r>
      <w:r w:rsidR="00ED4665">
        <w:rPr>
          <w:lang w:val="en"/>
        </w:rPr>
        <w:t xml:space="preserve">beyond </w:t>
      </w:r>
      <w:r w:rsidR="00627D8B">
        <w:rPr>
          <w:lang w:val="en"/>
        </w:rPr>
        <w:t>c</w:t>
      </w:r>
      <w:r w:rsidR="00F15934">
        <w:rPr>
          <w:lang w:val="en"/>
        </w:rPr>
        <w:t xml:space="preserve">oncerns of facing punishment </w:t>
      </w:r>
      <w:r w:rsidR="0086361F">
        <w:rPr>
          <w:lang w:val="en"/>
        </w:rPr>
        <w:t xml:space="preserve">from </w:t>
      </w:r>
      <w:r w:rsidR="00DB157F">
        <w:rPr>
          <w:lang w:val="en"/>
        </w:rPr>
        <w:t xml:space="preserve">government agencies, companies would be remiss to ignore the </w:t>
      </w:r>
      <w:r w:rsidR="00FC1901">
        <w:rPr>
          <w:lang w:val="en"/>
        </w:rPr>
        <w:t xml:space="preserve">overarching threat </w:t>
      </w:r>
      <w:r w:rsidR="00627D8B">
        <w:rPr>
          <w:lang w:val="en"/>
        </w:rPr>
        <w:t>of negative publicity</w:t>
      </w:r>
      <w:r w:rsidR="00FC1901">
        <w:rPr>
          <w:lang w:val="en"/>
        </w:rPr>
        <w:t xml:space="preserve"> </w:t>
      </w:r>
      <w:r w:rsidR="00627D8B">
        <w:rPr>
          <w:lang w:val="en"/>
        </w:rPr>
        <w:t xml:space="preserve">posed by </w:t>
      </w:r>
      <w:r w:rsidR="00FC1901">
        <w:rPr>
          <w:lang w:val="en"/>
        </w:rPr>
        <w:t>private litigation and customer complaint</w:t>
      </w:r>
      <w:r w:rsidR="00627D8B">
        <w:rPr>
          <w:lang w:val="en"/>
        </w:rPr>
        <w:t xml:space="preserve">s. </w:t>
      </w:r>
      <w:r w:rsidR="00327AA9">
        <w:rPr>
          <w:lang w:val="en"/>
        </w:rPr>
        <w:t xml:space="preserve">Adverse judgments can harm a company’s reputation within a community and help develop a “pattern or practice” </w:t>
      </w:r>
      <w:r w:rsidR="0086361F">
        <w:rPr>
          <w:lang w:val="en"/>
        </w:rPr>
        <w:t>of wrongdoing</w:t>
      </w:r>
      <w:r w:rsidR="00327AA9">
        <w:rPr>
          <w:lang w:val="en"/>
        </w:rPr>
        <w:t xml:space="preserve"> that can be used </w:t>
      </w:r>
      <w:r w:rsidR="00B96B54">
        <w:rPr>
          <w:lang w:val="en"/>
        </w:rPr>
        <w:t>to find lia</w:t>
      </w:r>
      <w:r w:rsidR="006A6EED">
        <w:rPr>
          <w:lang w:val="en"/>
        </w:rPr>
        <w:t xml:space="preserve">bility </w:t>
      </w:r>
      <w:r w:rsidR="00B96B54">
        <w:rPr>
          <w:lang w:val="en"/>
        </w:rPr>
        <w:t xml:space="preserve">and </w:t>
      </w:r>
      <w:r w:rsidR="006A6EED">
        <w:rPr>
          <w:lang w:val="en"/>
        </w:rPr>
        <w:t xml:space="preserve">justify </w:t>
      </w:r>
      <w:r w:rsidR="00B96B54">
        <w:rPr>
          <w:lang w:val="en"/>
        </w:rPr>
        <w:t>increase</w:t>
      </w:r>
      <w:r w:rsidR="006A6EED">
        <w:rPr>
          <w:lang w:val="en"/>
        </w:rPr>
        <w:t>d</w:t>
      </w:r>
      <w:r w:rsidR="00B96B54">
        <w:rPr>
          <w:lang w:val="en"/>
        </w:rPr>
        <w:t xml:space="preserve"> damages</w:t>
      </w:r>
      <w:r w:rsidR="006A6EED">
        <w:rPr>
          <w:lang w:val="en"/>
        </w:rPr>
        <w:t xml:space="preserve"> in subsequent litigation</w:t>
      </w:r>
      <w:r w:rsidR="00C346E9">
        <w:rPr>
          <w:lang w:val="en"/>
        </w:rPr>
        <w:t>. Whereas</w:t>
      </w:r>
      <w:r w:rsidR="0086361F">
        <w:rPr>
          <w:lang w:val="en"/>
        </w:rPr>
        <w:t xml:space="preserve"> </w:t>
      </w:r>
      <w:r w:rsidR="0025057D">
        <w:rPr>
          <w:lang w:val="en"/>
        </w:rPr>
        <w:t>negative social media</w:t>
      </w:r>
      <w:r w:rsidR="002E2D63">
        <w:rPr>
          <w:lang w:val="en"/>
        </w:rPr>
        <w:t xml:space="preserve"> reviews</w:t>
      </w:r>
      <w:r w:rsidR="0025057D">
        <w:rPr>
          <w:lang w:val="en"/>
        </w:rPr>
        <w:t xml:space="preserve"> or news coverage can s</w:t>
      </w:r>
      <w:r w:rsidR="003D037B">
        <w:rPr>
          <w:lang w:val="en"/>
        </w:rPr>
        <w:t xml:space="preserve">teer business away and stereotype </w:t>
      </w:r>
      <w:r w:rsidR="002E2D63">
        <w:rPr>
          <w:lang w:val="en"/>
        </w:rPr>
        <w:t xml:space="preserve">the </w:t>
      </w:r>
      <w:r w:rsidR="003D037B">
        <w:rPr>
          <w:lang w:val="en"/>
        </w:rPr>
        <w:t>company as untrustworthy</w:t>
      </w:r>
      <w:r w:rsidR="002E2D63">
        <w:rPr>
          <w:lang w:val="en"/>
        </w:rPr>
        <w:t>. Accordingly, while neither of these adversaries cut quite a</w:t>
      </w:r>
      <w:r w:rsidR="00C45C44">
        <w:rPr>
          <w:lang w:val="en"/>
        </w:rPr>
        <w:t xml:space="preserve">s </w:t>
      </w:r>
      <w:r w:rsidR="002E2D63">
        <w:rPr>
          <w:lang w:val="en"/>
        </w:rPr>
        <w:t>imposing of a figure as the agencies mentioned above, their cumulat</w:t>
      </w:r>
      <w:r w:rsidR="00C346E9">
        <w:rPr>
          <w:lang w:val="en"/>
        </w:rPr>
        <w:t>ive effect can be just as threatening</w:t>
      </w:r>
      <w:r w:rsidR="002E2D63">
        <w:rPr>
          <w:lang w:val="en"/>
        </w:rPr>
        <w:t>.</w:t>
      </w:r>
    </w:p>
    <w:p w:rsidR="00D83CEF" w:rsidRDefault="00D83CEF" w:rsidP="00D83CEF">
      <w:pPr>
        <w:pStyle w:val="BodyText"/>
        <w:widowControl w:val="0"/>
        <w:spacing w:after="0"/>
        <w:jc w:val="both"/>
        <w:rPr>
          <w:b/>
          <w:sz w:val="28"/>
          <w:szCs w:val="28"/>
        </w:rPr>
      </w:pPr>
    </w:p>
    <w:p w:rsidR="00C45C44" w:rsidRDefault="00C45C44" w:rsidP="005F1717">
      <w:pPr>
        <w:pStyle w:val="BodyText"/>
        <w:widowControl w:val="0"/>
        <w:jc w:val="both"/>
        <w:rPr>
          <w:b/>
          <w:sz w:val="28"/>
          <w:szCs w:val="28"/>
        </w:rPr>
      </w:pPr>
      <w:r w:rsidRPr="00BB5DE1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I</w:t>
      </w:r>
      <w:r w:rsidRPr="00BB5DE1">
        <w:rPr>
          <w:b/>
          <w:sz w:val="28"/>
          <w:szCs w:val="28"/>
        </w:rPr>
        <w:t>.</w:t>
      </w:r>
      <w:r w:rsidRPr="00BB5DE1">
        <w:rPr>
          <w:b/>
          <w:sz w:val="28"/>
          <w:szCs w:val="28"/>
        </w:rPr>
        <w:tab/>
      </w:r>
      <w:r>
        <w:rPr>
          <w:b/>
          <w:sz w:val="28"/>
          <w:szCs w:val="28"/>
        </w:rPr>
        <w:t>Id</w:t>
      </w:r>
      <w:r w:rsidR="00B322EF">
        <w:rPr>
          <w:b/>
          <w:sz w:val="28"/>
          <w:szCs w:val="28"/>
        </w:rPr>
        <w:t>entifying the Enemies</w:t>
      </w:r>
      <w:r>
        <w:rPr>
          <w:b/>
          <w:sz w:val="28"/>
          <w:szCs w:val="28"/>
        </w:rPr>
        <w:t xml:space="preserve"> Within</w:t>
      </w:r>
    </w:p>
    <w:p w:rsidR="006F2B04" w:rsidRDefault="00507844" w:rsidP="00F069D2">
      <w:pPr>
        <w:pStyle w:val="BodyText"/>
        <w:widowControl w:val="0"/>
        <w:spacing w:after="0"/>
        <w:jc w:val="both"/>
      </w:pPr>
      <w:r>
        <w:rPr>
          <w:b/>
          <w:sz w:val="28"/>
          <w:szCs w:val="28"/>
        </w:rPr>
        <w:tab/>
      </w:r>
      <w:r w:rsidR="00F069D2">
        <w:rPr>
          <w:sz w:val="28"/>
          <w:szCs w:val="28"/>
        </w:rPr>
        <w:t xml:space="preserve"> </w:t>
      </w:r>
      <w:r w:rsidR="00F069D2">
        <w:t>As many companies have unfortunately learned, t</w:t>
      </w:r>
      <w:r w:rsidR="00B322EF">
        <w:t xml:space="preserve">he destructiveness of the “enemies at the </w:t>
      </w:r>
      <w:r w:rsidR="00EF0056">
        <w:t>gat</w:t>
      </w:r>
      <w:r w:rsidR="00B322EF">
        <w:t>e” discussed above stem</w:t>
      </w:r>
      <w:r w:rsidR="00FD3D45">
        <w:t>s</w:t>
      </w:r>
      <w:r w:rsidR="00B322EF">
        <w:t xml:space="preserve"> in large part from the influence of the enemies within. In other words, without th</w:t>
      </w:r>
      <w:r w:rsidR="00F069D2">
        <w:t>e aid</w:t>
      </w:r>
      <w:r w:rsidR="00FD3D45">
        <w:t xml:space="preserve"> </w:t>
      </w:r>
      <w:r w:rsidR="00F069D2">
        <w:t xml:space="preserve">of a company’s </w:t>
      </w:r>
      <w:r w:rsidR="00FD3D45">
        <w:t>enemies</w:t>
      </w:r>
      <w:r w:rsidR="00EF0056">
        <w:t xml:space="preserve"> residing internally</w:t>
      </w:r>
      <w:r w:rsidR="00FD3D45">
        <w:t>, external foes would not be nearly as effective. Ironically, the company itself becomes th</w:t>
      </w:r>
      <w:r w:rsidR="00043D6F">
        <w:t>e outside</w:t>
      </w:r>
      <w:r w:rsidR="00FD3D45">
        <w:t xml:space="preserve"> foe’s greatest asset in obtaining an adverse result</w:t>
      </w:r>
      <w:r w:rsidR="00043D6F">
        <w:t>. The commentary below iden</w:t>
      </w:r>
      <w:r w:rsidR="00F069D2">
        <w:t xml:space="preserve">tifies a company’s most common </w:t>
      </w:r>
      <w:r w:rsidR="00043D6F">
        <w:t>internal enemies and showcas</w:t>
      </w:r>
      <w:r w:rsidR="00F069D2">
        <w:t>es how outside opponents can manipulate</w:t>
      </w:r>
      <w:r w:rsidR="00043D6F">
        <w:t xml:space="preserve"> them to their advantage.</w:t>
      </w:r>
    </w:p>
    <w:p w:rsidR="006F2B04" w:rsidRDefault="006F2B04" w:rsidP="00F069D2">
      <w:pPr>
        <w:pStyle w:val="BodyText"/>
        <w:widowControl w:val="0"/>
        <w:spacing w:after="0"/>
        <w:jc w:val="both"/>
      </w:pPr>
    </w:p>
    <w:p w:rsidR="0052317B" w:rsidRPr="00A542AE" w:rsidRDefault="0052317B" w:rsidP="00A542AE">
      <w:pPr>
        <w:pStyle w:val="BodyText"/>
        <w:widowControl w:val="0"/>
        <w:jc w:val="both"/>
        <w:rPr>
          <w:b/>
        </w:rPr>
      </w:pPr>
      <w:r>
        <w:rPr>
          <w:b/>
        </w:rPr>
        <w:t>A.</w:t>
      </w:r>
      <w:r>
        <w:rPr>
          <w:b/>
        </w:rPr>
        <w:tab/>
        <w:t>Risk Management and Compliance Departments</w:t>
      </w:r>
    </w:p>
    <w:p w:rsidR="00D14767" w:rsidRDefault="0052317B" w:rsidP="00D14767">
      <w:pPr>
        <w:pStyle w:val="BodyText"/>
        <w:widowControl w:val="0"/>
        <w:spacing w:after="0"/>
        <w:jc w:val="both"/>
      </w:pPr>
      <w:r>
        <w:tab/>
      </w:r>
      <w:r w:rsidR="000B2DDE">
        <w:t xml:space="preserve">Companies utilize risk management and compliance departments to ensure that potential </w:t>
      </w:r>
      <w:r w:rsidR="007160DF">
        <w:t xml:space="preserve">business </w:t>
      </w:r>
      <w:r w:rsidR="000B2DDE">
        <w:t>risks are properly evaluated</w:t>
      </w:r>
      <w:r w:rsidR="007160DF">
        <w:t>,</w:t>
      </w:r>
      <w:r w:rsidR="000B2DDE">
        <w:t xml:space="preserve"> and that internal prot</w:t>
      </w:r>
      <w:r w:rsidR="008F112A">
        <w:t xml:space="preserve">ocol </w:t>
      </w:r>
      <w:r w:rsidR="006A275B">
        <w:t>lines up with regulatory requirements and is being effectively followed</w:t>
      </w:r>
      <w:r w:rsidR="00603C82">
        <w:t>.</w:t>
      </w:r>
      <w:r w:rsidR="00F96EB1">
        <w:t xml:space="preserve"> While these departments</w:t>
      </w:r>
      <w:r w:rsidR="00EB3079">
        <w:t xml:space="preserve"> have unique roles, they are increasingly merging as companies understand that compliance should be viewed as an aspect of risk management,</w:t>
      </w:r>
      <w:r w:rsidR="00EB3079">
        <w:rPr>
          <w:rStyle w:val="FootnoteReference"/>
        </w:rPr>
        <w:footnoteReference w:id="31"/>
      </w:r>
      <w:r w:rsidR="00EB3079">
        <w:t xml:space="preserve"> and that “the effectiveness and efficiency of an organization’s compliance efforts are dependent upon the quality of the risk assessment process.”</w:t>
      </w:r>
      <w:r w:rsidR="00EB3079">
        <w:rPr>
          <w:rStyle w:val="FootnoteReference"/>
        </w:rPr>
        <w:footnoteReference w:id="32"/>
      </w:r>
      <w:r w:rsidR="00AC7D72">
        <w:t xml:space="preserve"> </w:t>
      </w:r>
      <w:r w:rsidR="00E54595">
        <w:t>That said</w:t>
      </w:r>
      <w:r w:rsidR="00BC4C42">
        <w:t>, while the combi</w:t>
      </w:r>
      <w:r w:rsidR="002F4B74">
        <w:t>ned aims of these departments are</w:t>
      </w:r>
      <w:r w:rsidR="00BC4C42">
        <w:t xml:space="preserve"> essential, there can be significant liability in their execution.</w:t>
      </w:r>
    </w:p>
    <w:p w:rsidR="00E54595" w:rsidRDefault="00E54595" w:rsidP="00D14767">
      <w:pPr>
        <w:pStyle w:val="BodyText"/>
        <w:widowControl w:val="0"/>
        <w:spacing w:after="0"/>
        <w:jc w:val="both"/>
      </w:pPr>
    </w:p>
    <w:p w:rsidR="00D14767" w:rsidRDefault="00E54595" w:rsidP="00D14767">
      <w:pPr>
        <w:pStyle w:val="BodyText"/>
        <w:widowControl w:val="0"/>
        <w:spacing w:after="0"/>
        <w:jc w:val="both"/>
      </w:pPr>
      <w:r>
        <w:tab/>
      </w:r>
      <w:r w:rsidR="009B6852">
        <w:t xml:space="preserve">A key component of any properly-functioning risk management or compliance department </w:t>
      </w:r>
      <w:r w:rsidR="009B6852">
        <w:lastRenderedPageBreak/>
        <w:t xml:space="preserve">is to “blow the horn” when they encounter a potential issue. </w:t>
      </w:r>
      <w:r w:rsidR="004B5631">
        <w:t xml:space="preserve">While this type of vigilance is important for company health, </w:t>
      </w:r>
      <w:r w:rsidR="00811189">
        <w:t xml:space="preserve">it can </w:t>
      </w:r>
      <w:r w:rsidR="004A49DD">
        <w:t xml:space="preserve">also </w:t>
      </w:r>
      <w:r w:rsidR="00811189">
        <w:t xml:space="preserve">lead to some </w:t>
      </w:r>
      <w:r w:rsidR="004B5631">
        <w:t>highly problematic</w:t>
      </w:r>
      <w:r w:rsidR="00811189">
        <w:t xml:space="preserve"> results</w:t>
      </w:r>
      <w:r w:rsidR="004B5631">
        <w:t>.</w:t>
      </w:r>
      <w:r w:rsidR="00811189">
        <w:t xml:space="preserve"> First, information is distributed to too many, unnecessary individuals. </w:t>
      </w:r>
      <w:r w:rsidR="004A49DD">
        <w:t>Rather than limiting</w:t>
      </w:r>
      <w:r w:rsidR="00811189">
        <w:t xml:space="preserve"> their r</w:t>
      </w:r>
      <w:r w:rsidR="004A49DD">
        <w:t>eports to</w:t>
      </w:r>
      <w:r w:rsidR="00811189">
        <w:t xml:space="preserve"> a tigh</w:t>
      </w:r>
      <w:r w:rsidR="004F3818">
        <w:t>tly-controlled</w:t>
      </w:r>
      <w:r w:rsidR="00811189">
        <w:t xml:space="preserve"> are</w:t>
      </w:r>
      <w:r w:rsidR="004A49DD">
        <w:t xml:space="preserve">na, risk management and compliance teams have a tendency to cover their bases and copy a </w:t>
      </w:r>
      <w:r w:rsidR="00824E4F">
        <w:t xml:space="preserve">plethora </w:t>
      </w:r>
      <w:r w:rsidR="004A49DD">
        <w:t>of individuals</w:t>
      </w:r>
      <w:r w:rsidR="009B5A77">
        <w:t xml:space="preserve"> up-and-down the chain of command</w:t>
      </w:r>
      <w:r w:rsidR="004A49DD">
        <w:t xml:space="preserve"> on their communications.</w:t>
      </w:r>
      <w:r w:rsidR="004F3818">
        <w:t xml:space="preserve"> Second, withi</w:t>
      </w:r>
      <w:r w:rsidR="00303067">
        <w:t>n their</w:t>
      </w:r>
      <w:r w:rsidR="004F3818">
        <w:t xml:space="preserve"> communications, </w:t>
      </w:r>
      <w:r w:rsidR="00303067">
        <w:t xml:space="preserve">these </w:t>
      </w:r>
      <w:r w:rsidR="00D86F41">
        <w:t xml:space="preserve">teams may </w:t>
      </w:r>
      <w:r w:rsidR="004F3818">
        <w:t xml:space="preserve">not </w:t>
      </w:r>
      <w:r w:rsidR="00D86F41">
        <w:t xml:space="preserve">be </w:t>
      </w:r>
      <w:r w:rsidR="004F3818">
        <w:t>precise with their wording</w:t>
      </w:r>
      <w:r w:rsidR="00D86F41">
        <w:t xml:space="preserve">, </w:t>
      </w:r>
      <w:r w:rsidR="004F3818">
        <w:t xml:space="preserve">incidentally </w:t>
      </w:r>
      <w:r w:rsidR="00D86F41">
        <w:t>overstating</w:t>
      </w:r>
      <w:r w:rsidR="004F3818">
        <w:t xml:space="preserve"> or mischar</w:t>
      </w:r>
      <w:r w:rsidR="00D86F41">
        <w:t>acterizing identified</w:t>
      </w:r>
      <w:r w:rsidR="002F4B74">
        <w:t xml:space="preserve"> problems. This effect can be </w:t>
      </w:r>
      <w:r w:rsidR="00D86F41">
        <w:t>compounded</w:t>
      </w:r>
      <w:r w:rsidR="004F3818">
        <w:t xml:space="preserve"> where non-lawyers incorrectly interpre</w:t>
      </w:r>
      <w:r w:rsidR="00D86F41">
        <w:t>t the law</w:t>
      </w:r>
      <w:r w:rsidR="004F3818">
        <w:t xml:space="preserve"> or employ legal terminology in </w:t>
      </w:r>
      <w:r w:rsidR="00D86F41">
        <w:t>an</w:t>
      </w:r>
      <w:r w:rsidR="002F4B74">
        <w:t xml:space="preserve"> unexperienced </w:t>
      </w:r>
      <w:r w:rsidR="00D86F41">
        <w:t>m</w:t>
      </w:r>
      <w:r w:rsidR="00E0540B">
        <w:t xml:space="preserve">anner. Lastly, risk management and compliance teams </w:t>
      </w:r>
      <w:r w:rsidR="00C268D1">
        <w:t xml:space="preserve">frequently </w:t>
      </w:r>
      <w:r w:rsidR="00E0540B">
        <w:t>identify problems without the requi</w:t>
      </w:r>
      <w:r w:rsidR="00C268D1">
        <w:t>site follow-</w:t>
      </w:r>
      <w:r w:rsidR="002F4B74">
        <w:t>up needed</w:t>
      </w:r>
      <w:r w:rsidR="00E0540B">
        <w:t xml:space="preserve"> to solve them.</w:t>
      </w:r>
      <w:r w:rsidR="007D4C3B">
        <w:t xml:space="preserve"> This breakdown can lead to the same problems </w:t>
      </w:r>
      <w:r w:rsidR="00562368">
        <w:t>repeatedly being raised in quarterly and annual reports</w:t>
      </w:r>
      <w:r w:rsidR="002F4B74">
        <w:t xml:space="preserve"> with no clear solution implemented</w:t>
      </w:r>
      <w:r w:rsidR="00562368">
        <w:t xml:space="preserve"> to address them. Consequently, the company appears to be willfully ignoring a known problem rather than taking corrective action</w:t>
      </w:r>
      <w:r w:rsidR="00C01926">
        <w:t>s</w:t>
      </w:r>
      <w:r w:rsidR="00562368">
        <w:t>.</w:t>
      </w:r>
    </w:p>
    <w:p w:rsidR="006A3A71" w:rsidRDefault="006A3A71" w:rsidP="00D14767">
      <w:pPr>
        <w:pStyle w:val="BodyText"/>
        <w:widowControl w:val="0"/>
        <w:spacing w:after="0"/>
        <w:jc w:val="both"/>
      </w:pPr>
    </w:p>
    <w:p w:rsidR="006A3A71" w:rsidRDefault="006A3A71" w:rsidP="00D14767">
      <w:pPr>
        <w:pStyle w:val="BodyText"/>
        <w:widowControl w:val="0"/>
        <w:spacing w:after="0"/>
        <w:jc w:val="both"/>
      </w:pPr>
      <w:r>
        <w:tab/>
      </w:r>
      <w:r w:rsidR="00C01926">
        <w:t xml:space="preserve">Over the last </w:t>
      </w:r>
      <w:r w:rsidR="002F4B74">
        <w:t>several</w:t>
      </w:r>
      <w:r w:rsidR="00C01926">
        <w:t xml:space="preserve"> years, government agencies have grown skilled in exploiting these defects. </w:t>
      </w:r>
      <w:r w:rsidR="002B5CB4">
        <w:t>For instance, the DOJ ha</w:t>
      </w:r>
      <w:r w:rsidR="007809D8">
        <w:t>s repeatedly used CIDs to amass</w:t>
      </w:r>
      <w:r w:rsidR="002B5CB4">
        <w:t xml:space="preserve"> </w:t>
      </w:r>
      <w:r w:rsidR="00EB185E">
        <w:t xml:space="preserve">company </w:t>
      </w:r>
      <w:r w:rsidR="002B5CB4">
        <w:t>risk management reports that it subsequently turns into a damning statement of facts that forces settlement.</w:t>
      </w:r>
      <w:r w:rsidR="002B5CB4">
        <w:rPr>
          <w:rStyle w:val="FootnoteReference"/>
        </w:rPr>
        <w:footnoteReference w:id="33"/>
      </w:r>
      <w:r w:rsidR="00AE1FF5">
        <w:t xml:space="preserve"> </w:t>
      </w:r>
      <w:r w:rsidR="00CA0FB4">
        <w:t>In one example, the DOJ was a</w:t>
      </w:r>
      <w:r w:rsidR="00CE157B">
        <w:t>ble to secure a large settlement</w:t>
      </w:r>
      <w:r w:rsidR="006F2B04">
        <w:t xml:space="preserve"> against an investment firm</w:t>
      </w:r>
      <w:r w:rsidR="00CE157B">
        <w:t xml:space="preserve"> by using its own due diligence reports to s</w:t>
      </w:r>
      <w:r w:rsidR="006F2B04">
        <w:t>how that the firm</w:t>
      </w:r>
      <w:r w:rsidR="002F4B74">
        <w:t xml:space="preserve"> was knowingly</w:t>
      </w:r>
      <w:r w:rsidR="006F2B04">
        <w:t xml:space="preserve"> issuing </w:t>
      </w:r>
      <w:r w:rsidR="00CE157B">
        <w:t>various residential</w:t>
      </w:r>
      <w:r w:rsidR="00AB60B6">
        <w:t xml:space="preserve"> </w:t>
      </w:r>
      <w:r w:rsidR="00CE157B">
        <w:t>mortgage-backed securities</w:t>
      </w:r>
      <w:r w:rsidR="006F2B04">
        <w:t xml:space="preserve"> in violation of accepted underwriting guidelines</w:t>
      </w:r>
      <w:r w:rsidR="00CE157B">
        <w:t>.</w:t>
      </w:r>
      <w:r w:rsidR="00CE157B">
        <w:rPr>
          <w:rStyle w:val="FootnoteReference"/>
        </w:rPr>
        <w:footnoteReference w:id="34"/>
      </w:r>
      <w:r w:rsidR="00CA0FB4">
        <w:t xml:space="preserve"> </w:t>
      </w:r>
      <w:r w:rsidR="006F2B04">
        <w:t xml:space="preserve">To make matters worse, </w:t>
      </w:r>
      <w:r w:rsidR="00AB60B6">
        <w:t>the firm’s due diligence manager informed his superior of the loosening of these underwriting guidelines</w:t>
      </w:r>
      <w:r w:rsidR="0069403B">
        <w:t xml:space="preserve"> via</w:t>
      </w:r>
      <w:r w:rsidR="00AB60B6">
        <w:t xml:space="preserve"> </w:t>
      </w:r>
      <w:r w:rsidR="0069403B">
        <w:t>two different memoranda over two consecutive years; however, no action was taken.</w:t>
      </w:r>
      <w:r w:rsidR="0069403B">
        <w:rPr>
          <w:rStyle w:val="FootnoteReference"/>
        </w:rPr>
        <w:footnoteReference w:id="35"/>
      </w:r>
      <w:r w:rsidR="0069403B">
        <w:t xml:space="preserve"> In </w:t>
      </w:r>
      <w:r w:rsidR="00101DF2">
        <w:t xml:space="preserve">another </w:t>
      </w:r>
      <w:r w:rsidR="00B72DEA">
        <w:t>DOJ CID</w:t>
      </w:r>
      <w:r w:rsidR="0069403B">
        <w:t xml:space="preserve">, </w:t>
      </w:r>
      <w:r w:rsidR="00B72DEA">
        <w:t xml:space="preserve">the DOJ found that a bank’s internal reviews revealed </w:t>
      </w:r>
      <w:r w:rsidR="00101DF2">
        <w:t xml:space="preserve">multiple </w:t>
      </w:r>
      <w:r w:rsidR="00B72DEA">
        <w:t xml:space="preserve">instances of borrower fraud and misrepresentations about borrower credit in connection with loan originations; nevertheless, the </w:t>
      </w:r>
      <w:r w:rsidR="002F4B74">
        <w:t>bank did not take steps</w:t>
      </w:r>
      <w:r w:rsidR="00101DF2">
        <w:t xml:space="preserve"> to remedy these issues.</w:t>
      </w:r>
      <w:r w:rsidR="00101DF2">
        <w:rPr>
          <w:rStyle w:val="FootnoteReference"/>
        </w:rPr>
        <w:footnoteReference w:id="36"/>
      </w:r>
      <w:r w:rsidR="00FB57A6">
        <w:t xml:space="preserve"> </w:t>
      </w:r>
      <w:r w:rsidR="000D0388">
        <w:t xml:space="preserve">Lastly, the DOJ garnered a large settlement with an automobile manufacturer after internal engineering reports repeatedly </w:t>
      </w:r>
      <w:r w:rsidR="000F67ED">
        <w:t xml:space="preserve">showed evidence of product defects that were “high risk,” “critical,” and </w:t>
      </w:r>
      <w:r w:rsidR="003D7F8A">
        <w:t>a “safety issue.”</w:t>
      </w:r>
      <w:r w:rsidR="003D7F8A">
        <w:rPr>
          <w:rStyle w:val="FootnoteReference"/>
        </w:rPr>
        <w:footnoteReference w:id="37"/>
      </w:r>
      <w:r w:rsidR="007809D8">
        <w:t xml:space="preserve"> Despite the information contained within these reports, the manufacturer failed to make proper disclosures and even issued a directive to its engineers to not implement design improvements as it wanted to avoid the impression “that we have admitted having defective vehicles.”</w:t>
      </w:r>
      <w:r w:rsidR="007809D8">
        <w:rPr>
          <w:rStyle w:val="FootnoteReference"/>
        </w:rPr>
        <w:footnoteReference w:id="38"/>
      </w:r>
    </w:p>
    <w:p w:rsidR="00D14767" w:rsidRDefault="00D14767" w:rsidP="00D14767">
      <w:pPr>
        <w:pStyle w:val="BodyText"/>
        <w:widowControl w:val="0"/>
        <w:spacing w:after="0"/>
        <w:jc w:val="both"/>
      </w:pPr>
    </w:p>
    <w:p w:rsidR="00D57673" w:rsidRDefault="007B1203" w:rsidP="005436F0">
      <w:pPr>
        <w:pStyle w:val="BodyText"/>
        <w:widowControl w:val="0"/>
        <w:spacing w:after="0"/>
        <w:jc w:val="both"/>
      </w:pPr>
      <w:r>
        <w:tab/>
      </w:r>
      <w:r w:rsidR="007809D8">
        <w:t>Sim</w:t>
      </w:r>
      <w:r w:rsidR="00B9295F">
        <w:t>ilarly</w:t>
      </w:r>
      <w:r w:rsidR="001E649A">
        <w:t>, the FDA has successfully prosecuted pharmaceutical companies</w:t>
      </w:r>
      <w:r w:rsidR="00934E76">
        <w:t xml:space="preserve"> for “off-label” promotion</w:t>
      </w:r>
      <w:r w:rsidR="001E649A">
        <w:t xml:space="preserve"> largely based on internal memoranda discussing the </w:t>
      </w:r>
      <w:r w:rsidR="00E43CE2">
        <w:t xml:space="preserve">negative </w:t>
      </w:r>
      <w:r w:rsidR="001E649A">
        <w:t>results of a drug’s clinical trials.</w:t>
      </w:r>
      <w:r w:rsidR="001E649A">
        <w:rPr>
          <w:rStyle w:val="FootnoteReference"/>
        </w:rPr>
        <w:footnoteReference w:id="39"/>
      </w:r>
      <w:r w:rsidR="00E43CE2">
        <w:t xml:space="preserve"> </w:t>
      </w:r>
      <w:r w:rsidR="006B1333">
        <w:t xml:space="preserve">In one instance, a pharmaceutical company noted in a monthly report that </w:t>
      </w:r>
      <w:r w:rsidR="00934E76">
        <w:t>a drug’s studies had been “disappointing” and could not support a finding that it was effective in treating childhood depression.</w:t>
      </w:r>
      <w:r w:rsidR="00934E76">
        <w:rPr>
          <w:rStyle w:val="FootnoteReference"/>
        </w:rPr>
        <w:footnoteReference w:id="40"/>
      </w:r>
      <w:r w:rsidR="00934E76">
        <w:t xml:space="preserve"> Despite these findings, the report stated that it would be “commercially unacceptable to include a statement that efficacy had not been demonstrated” as it would significantly undermine the drug’s profile.</w:t>
      </w:r>
      <w:r w:rsidR="00934E76">
        <w:rPr>
          <w:rStyle w:val="FootnoteReference"/>
        </w:rPr>
        <w:footnoteReference w:id="41"/>
      </w:r>
      <w:r w:rsidR="00934E76">
        <w:t xml:space="preserve"> The company proceeded to market th</w:t>
      </w:r>
      <w:r w:rsidR="00B02182">
        <w:t>e drug for this “off-label” use and ul</w:t>
      </w:r>
      <w:r w:rsidR="0040125A">
        <w:t>timately paid a significant fine</w:t>
      </w:r>
      <w:r w:rsidR="00934E76">
        <w:t>.</w:t>
      </w:r>
      <w:r w:rsidR="00934E76">
        <w:rPr>
          <w:rStyle w:val="FootnoteReference"/>
        </w:rPr>
        <w:footnoteReference w:id="42"/>
      </w:r>
    </w:p>
    <w:p w:rsidR="005436F0" w:rsidRDefault="005436F0" w:rsidP="005436F0">
      <w:pPr>
        <w:pStyle w:val="BodyText"/>
        <w:widowControl w:val="0"/>
        <w:spacing w:after="0"/>
        <w:jc w:val="both"/>
      </w:pPr>
    </w:p>
    <w:p w:rsidR="005436F0" w:rsidRDefault="005436F0" w:rsidP="00A542AE">
      <w:pPr>
        <w:pStyle w:val="BodyText"/>
        <w:widowControl w:val="0"/>
        <w:jc w:val="both"/>
        <w:rPr>
          <w:b/>
        </w:rPr>
      </w:pPr>
      <w:r>
        <w:rPr>
          <w:b/>
        </w:rPr>
        <w:t>B.</w:t>
      </w:r>
      <w:r>
        <w:rPr>
          <w:b/>
        </w:rPr>
        <w:tab/>
        <w:t>Finance and Accounting Departments</w:t>
      </w:r>
    </w:p>
    <w:p w:rsidR="00FF5C1A" w:rsidRDefault="006767E9" w:rsidP="00FF5C1A">
      <w:pPr>
        <w:pStyle w:val="BodyText"/>
        <w:widowControl w:val="0"/>
        <w:spacing w:after="0"/>
        <w:jc w:val="both"/>
      </w:pPr>
      <w:r>
        <w:tab/>
      </w:r>
      <w:r w:rsidR="002213F7">
        <w:t>A company’s finance and accounting departments are largely responsible for managing a compa</w:t>
      </w:r>
      <w:r w:rsidR="00725050">
        <w:t xml:space="preserve">ny’s books and </w:t>
      </w:r>
      <w:r w:rsidR="002213F7">
        <w:t>financial audits, and ensuring that financial controls are properly maintained and followed. Additionally, these departments oversee both a company’s internal and external financial reporting. Significant issues can arise when the former does not comport with the latter.</w:t>
      </w:r>
      <w:r w:rsidR="00FF5C1A">
        <w:t xml:space="preserve"> </w:t>
      </w:r>
    </w:p>
    <w:p w:rsidR="00FF5C1A" w:rsidRDefault="00FF5C1A" w:rsidP="00FF5C1A">
      <w:pPr>
        <w:pStyle w:val="BodyText"/>
        <w:widowControl w:val="0"/>
        <w:spacing w:after="0"/>
        <w:jc w:val="both"/>
      </w:pPr>
    </w:p>
    <w:p w:rsidR="00CC2CF1" w:rsidRDefault="00FF5C1A" w:rsidP="00FF5C1A">
      <w:pPr>
        <w:pStyle w:val="BodyText"/>
        <w:widowControl w:val="0"/>
        <w:spacing w:after="0"/>
        <w:jc w:val="both"/>
      </w:pPr>
      <w:r>
        <w:tab/>
      </w:r>
      <w:r w:rsidR="002213F7">
        <w:t>C</w:t>
      </w:r>
      <w:r>
        <w:t>ompanies run into trouble when they internally discuss uncertainties or risks that may affect their financial health without subsequently disclosing that information to investors and the SEC</w:t>
      </w:r>
      <w:r w:rsidR="00CC2CF1">
        <w:t xml:space="preserve"> via 10-K, 10-Q, and 8-K forms</w:t>
      </w:r>
      <w:r>
        <w:t>.</w:t>
      </w:r>
      <w:r w:rsidR="00C205C1">
        <w:t xml:space="preserve"> </w:t>
      </w:r>
      <w:r w:rsidR="00CC2CF1">
        <w:t xml:space="preserve">This is because </w:t>
      </w:r>
      <w:r w:rsidR="00C205C1">
        <w:t>publicly-traded companies are obligated to report material events and information “that would cause reported financial information not to be necessarily indicative of future operating results or of future financial condition.”</w:t>
      </w:r>
      <w:r w:rsidR="00C205C1">
        <w:rPr>
          <w:rStyle w:val="FootnoteReference"/>
        </w:rPr>
        <w:footnoteReference w:id="43"/>
      </w:r>
      <w:r w:rsidR="00CC2CF1">
        <w:t xml:space="preserve"> Accordingly, finance and accounting departments must avoid internally discussing trends or uncertainties that will affect the company share price while neglecting to report the same in external disclosures.</w:t>
      </w:r>
    </w:p>
    <w:p w:rsidR="002213F7" w:rsidRDefault="00CC2CF1" w:rsidP="00FF5C1A">
      <w:pPr>
        <w:pStyle w:val="BodyText"/>
        <w:widowControl w:val="0"/>
        <w:spacing w:after="0"/>
        <w:jc w:val="both"/>
      </w:pPr>
      <w:r>
        <w:t xml:space="preserve"> </w:t>
      </w:r>
    </w:p>
    <w:p w:rsidR="00CC2CF1" w:rsidRDefault="00CC2CF1" w:rsidP="00FF5C1A">
      <w:pPr>
        <w:pStyle w:val="BodyText"/>
        <w:widowControl w:val="0"/>
        <w:spacing w:after="0"/>
        <w:jc w:val="both"/>
      </w:pPr>
      <w:r>
        <w:tab/>
        <w:t>Should a disparity between internal and external reporting exist, the SEC can use it as prima fac</w:t>
      </w:r>
      <w:r w:rsidR="0055588E">
        <w:t>ie evidence of a violation of the Securities Exchange Act.</w:t>
      </w:r>
      <w:r w:rsidR="0055588E">
        <w:rPr>
          <w:rStyle w:val="FootnoteReference"/>
        </w:rPr>
        <w:footnoteReference w:id="44"/>
      </w:r>
      <w:r w:rsidR="00293020">
        <w:t xml:space="preserve"> For example, </w:t>
      </w:r>
      <w:r w:rsidR="00B208D5">
        <w:t xml:space="preserve">the SEC </w:t>
      </w:r>
      <w:r w:rsidR="00B53E59">
        <w:t xml:space="preserve">filed a cease-and-desist order against a </w:t>
      </w:r>
      <w:r w:rsidR="00B208D5">
        <w:t>bank where the</w:t>
      </w:r>
      <w:r w:rsidR="00293020">
        <w:t xml:space="preserve"> bank </w:t>
      </w:r>
      <w:r w:rsidR="00B208D5">
        <w:t xml:space="preserve">failed to disclose its </w:t>
      </w:r>
      <w:r w:rsidR="00F35960">
        <w:t xml:space="preserve">financial </w:t>
      </w:r>
      <w:r w:rsidR="00B208D5">
        <w:t>forecasts</w:t>
      </w:r>
      <w:r w:rsidR="00E52EBD">
        <w:t xml:space="preserve"> regarding</w:t>
      </w:r>
      <w:r w:rsidR="00B208D5">
        <w:t xml:space="preserve"> an increased amount of contested foreclosures</w:t>
      </w:r>
      <w:r w:rsidR="00E52EBD">
        <w:t xml:space="preserve"> that could result in</w:t>
      </w:r>
      <w:r w:rsidR="00B208D5">
        <w:t xml:space="preserve"> significant loss.</w:t>
      </w:r>
      <w:r w:rsidR="00B208D5">
        <w:rPr>
          <w:rStyle w:val="FootnoteReference"/>
        </w:rPr>
        <w:footnoteReference w:id="45"/>
      </w:r>
      <w:r w:rsidR="00B53E59">
        <w:t xml:space="preserve"> Consequently, the bank’s failure to report what it internally dubbed an “emerging risk” resulted in large fines.</w:t>
      </w:r>
      <w:r w:rsidR="00B53E59">
        <w:rPr>
          <w:rStyle w:val="FootnoteReference"/>
        </w:rPr>
        <w:footnoteReference w:id="46"/>
      </w:r>
    </w:p>
    <w:p w:rsidR="00E52EBD" w:rsidRDefault="00E52EBD" w:rsidP="00FF5C1A">
      <w:pPr>
        <w:pStyle w:val="BodyText"/>
        <w:widowControl w:val="0"/>
        <w:spacing w:after="0"/>
        <w:jc w:val="both"/>
      </w:pPr>
    </w:p>
    <w:p w:rsidR="00E52EBD" w:rsidRDefault="00E52EBD" w:rsidP="003C4A26">
      <w:pPr>
        <w:pStyle w:val="BodyText"/>
        <w:widowControl w:val="0"/>
        <w:jc w:val="both"/>
        <w:rPr>
          <w:b/>
        </w:rPr>
      </w:pPr>
      <w:r>
        <w:rPr>
          <w:b/>
        </w:rPr>
        <w:t>C.</w:t>
      </w:r>
      <w:r>
        <w:rPr>
          <w:b/>
        </w:rPr>
        <w:tab/>
      </w:r>
      <w:r w:rsidR="003C4A26">
        <w:rPr>
          <w:b/>
        </w:rPr>
        <w:t>Employee Communications</w:t>
      </w:r>
    </w:p>
    <w:p w:rsidR="003C4A26" w:rsidRDefault="003C4A26" w:rsidP="00FF5C1A">
      <w:pPr>
        <w:pStyle w:val="BodyText"/>
        <w:widowControl w:val="0"/>
        <w:spacing w:after="0"/>
        <w:jc w:val="both"/>
      </w:pPr>
      <w:r>
        <w:rPr>
          <w:b/>
        </w:rPr>
        <w:tab/>
      </w:r>
      <w:r w:rsidR="00E064D8">
        <w:t xml:space="preserve">The last of the </w:t>
      </w:r>
      <w:r w:rsidR="0019348D">
        <w:t>enemies within is the most ubiquitous, and, while seemingly innocuous, arguably poses the greatest risk to a company’s well-being. Every day, countless emails are traded between colleagues</w:t>
      </w:r>
      <w:r w:rsidR="00421284">
        <w:t>,</w:t>
      </w:r>
      <w:r w:rsidR="0019348D">
        <w:t xml:space="preserve"> discussing subjects that range from the mundane to </w:t>
      </w:r>
      <w:r w:rsidR="00D60267">
        <w:t xml:space="preserve">the </w:t>
      </w:r>
      <w:r w:rsidR="00725050">
        <w:t>highly</w:t>
      </w:r>
      <w:r w:rsidR="0019348D">
        <w:t xml:space="preserve"> sensitive. Although employees are repeatedly trained to be thoughtful with their emailing, the convenient</w:t>
      </w:r>
      <w:r w:rsidR="000C1D08">
        <w:t>, informal,</w:t>
      </w:r>
      <w:r w:rsidR="0019348D">
        <w:t xml:space="preserve"> and instantaneous nature of electronic mail continues to be the forum</w:t>
      </w:r>
      <w:r w:rsidR="00421284">
        <w:t xml:space="preserve"> of choice for conversations that may</w:t>
      </w:r>
      <w:r w:rsidR="0019348D">
        <w:t xml:space="preserve"> be better held in person. </w:t>
      </w:r>
    </w:p>
    <w:p w:rsidR="00421284" w:rsidRDefault="00421284" w:rsidP="00FF5C1A">
      <w:pPr>
        <w:pStyle w:val="BodyText"/>
        <w:widowControl w:val="0"/>
        <w:spacing w:after="0"/>
        <w:jc w:val="both"/>
      </w:pPr>
    </w:p>
    <w:p w:rsidR="00421284" w:rsidRDefault="00421284" w:rsidP="00FF5C1A">
      <w:pPr>
        <w:pStyle w:val="BodyText"/>
        <w:widowControl w:val="0"/>
        <w:spacing w:after="0"/>
        <w:jc w:val="both"/>
      </w:pPr>
      <w:r>
        <w:tab/>
      </w:r>
      <w:r w:rsidR="009711D5">
        <w:t>Before highlighting examples of problemat</w:t>
      </w:r>
      <w:r w:rsidR="007818D3">
        <w:t>ic email content</w:t>
      </w:r>
      <w:r w:rsidR="009711D5">
        <w:t xml:space="preserve">, it is worth discussing </w:t>
      </w:r>
      <w:r w:rsidR="00D60267">
        <w:t>flaws with employees’ email practices in general.</w:t>
      </w:r>
      <w:r w:rsidR="007818D3">
        <w:t xml:space="preserve"> First, there is a tendency in the corporate sphere to carbon copy an excessive amount of </w:t>
      </w:r>
      <w:r w:rsidR="005A3297">
        <w:t>individuals</w:t>
      </w:r>
      <w:r w:rsidR="007818D3">
        <w:t>. Not</w:t>
      </w:r>
      <w:r w:rsidR="00D60267">
        <w:t xml:space="preserve"> </w:t>
      </w:r>
      <w:r w:rsidR="007818D3">
        <w:t>only does</w:t>
      </w:r>
      <w:r w:rsidR="005A3297">
        <w:t xml:space="preserve"> a large group of recipients tend to </w:t>
      </w:r>
      <w:r w:rsidR="007818D3">
        <w:t>compromis</w:t>
      </w:r>
      <w:r w:rsidR="005A3297">
        <w:t>e confidentiality</w:t>
      </w:r>
      <w:r w:rsidR="007818D3">
        <w:t xml:space="preserve">, it also provides regulatory agencies and private litigants with more targets to question and investigate. </w:t>
      </w:r>
      <w:r w:rsidR="005A3297">
        <w:t>This means that the company will potentially have to hire separate le</w:t>
      </w:r>
      <w:r w:rsidR="00725050">
        <w:t>gal counsel for each person copied</w:t>
      </w:r>
      <w:r w:rsidR="005A3297">
        <w:t xml:space="preserve"> to av</w:t>
      </w:r>
      <w:r w:rsidR="00CD00FD">
        <w:t>oid potential</w:t>
      </w:r>
      <w:r w:rsidR="005A3297">
        <w:t xml:space="preserve"> conflicts that may arise. Second, employees </w:t>
      </w:r>
      <w:r w:rsidR="0087737E">
        <w:t>are too liberal in copying legal counsel on</w:t>
      </w:r>
      <w:r w:rsidR="003F4A6D">
        <w:t xml:space="preserve"> emails. They mistakenly believe that the attorney-client privilege will protect their</w:t>
      </w:r>
      <w:r w:rsidR="00725050">
        <w:t xml:space="preserve"> communications, even where the employees</w:t>
      </w:r>
      <w:r w:rsidR="003F4A6D">
        <w:t xml:space="preserve"> are not explicitly seeking legal advice. Unless attorney-client privilege is tightly monit</w:t>
      </w:r>
      <w:r w:rsidR="003435B9">
        <w:t>ored and relates to legal questions</w:t>
      </w:r>
      <w:r w:rsidR="003F4A6D">
        <w:t xml:space="preserve">, the government or private plaintiffs may be able to overcome an asserted privilege and access candid statements made </w:t>
      </w:r>
      <w:r w:rsidR="0027248F">
        <w:t>under</w:t>
      </w:r>
      <w:r w:rsidR="003F4A6D">
        <w:t xml:space="preserve"> a false sense of security.</w:t>
      </w:r>
    </w:p>
    <w:p w:rsidR="00A24098" w:rsidRDefault="00A24098" w:rsidP="00FF5C1A">
      <w:pPr>
        <w:pStyle w:val="BodyText"/>
        <w:widowControl w:val="0"/>
        <w:spacing w:after="0"/>
        <w:jc w:val="both"/>
      </w:pPr>
    </w:p>
    <w:p w:rsidR="00FF7C0A" w:rsidRDefault="00A24098" w:rsidP="00FE543F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695CEB">
        <w:t xml:space="preserve">Turning to the actual emails themselves, damaging statements can quickly become </w:t>
      </w:r>
      <w:r w:rsidR="0027248F">
        <w:t>“</w:t>
      </w:r>
      <w:r w:rsidR="00695CEB">
        <w:t>Exhibit A</w:t>
      </w:r>
      <w:r w:rsidR="0027248F">
        <w:t>”</w:t>
      </w:r>
      <w:r w:rsidR="00695CEB">
        <w:t xml:space="preserve"> in a CID or other regulatory action. </w:t>
      </w:r>
      <w:r w:rsidR="0027248F">
        <w:t xml:space="preserve">While examples unfortunately abound, the following illustrations provide a good sampling of realistic emails that employees might send in any given day. </w:t>
      </w:r>
      <w:r w:rsidR="003435B9">
        <w:t xml:space="preserve">In one case, </w:t>
      </w:r>
      <w:r w:rsidR="0027248F">
        <w:t>the DOJ</w:t>
      </w:r>
      <w:r w:rsidR="003435B9">
        <w:t xml:space="preserve"> initiated a CID that</w:t>
      </w:r>
      <w:r w:rsidR="0027248F">
        <w:t xml:space="preserve"> uncovered an email where an investment firm’s employee wondered why </w:t>
      </w:r>
      <w:r w:rsidR="00EC5331">
        <w:t xml:space="preserve">he needed to review </w:t>
      </w:r>
      <w:r w:rsidR="0027248F">
        <w:t>mortgage loans when the firm “</w:t>
      </w:r>
      <w:r w:rsidR="0027248F">
        <w:rPr>
          <w:sz w:val="23"/>
          <w:szCs w:val="23"/>
        </w:rPr>
        <w:t>is going to keep them regardless of issues? . . . Makes you wonder why we have due diligence performed other than making sure the loan closed.”</w:t>
      </w:r>
      <w:r w:rsidR="00B86589">
        <w:rPr>
          <w:rStyle w:val="FootnoteReference"/>
          <w:sz w:val="23"/>
          <w:szCs w:val="23"/>
        </w:rPr>
        <w:footnoteReference w:id="47"/>
      </w:r>
      <w:r w:rsidR="0027248F">
        <w:t xml:space="preserve"> </w:t>
      </w:r>
      <w:r w:rsidR="00565C1C">
        <w:t>In another DOJ CID</w:t>
      </w:r>
      <w:r w:rsidR="00FE543F">
        <w:t xml:space="preserve"> involving mortgage fraud</w:t>
      </w:r>
      <w:r w:rsidR="00565C1C">
        <w:t xml:space="preserve">, the government relied on </w:t>
      </w:r>
      <w:r w:rsidR="00FE543F">
        <w:t>a bank employee’s email where he stated that he “went thru the Diligence Reports and thin</w:t>
      </w:r>
      <w:r w:rsidR="00611A8E">
        <w:t xml:space="preserve">k that we should start praying . . . </w:t>
      </w:r>
      <w:r w:rsidR="00FE543F">
        <w:t>I would not be surprised if half of these loans went down.”</w:t>
      </w:r>
      <w:r w:rsidR="00EC5331">
        <w:rPr>
          <w:rStyle w:val="FootnoteReference"/>
        </w:rPr>
        <w:footnoteReference w:id="48"/>
      </w:r>
      <w:r w:rsidR="006C7C02">
        <w:t xml:space="preserve"> Turning to a different case</w:t>
      </w:r>
      <w:r w:rsidR="00A12926">
        <w:t>, th</w:t>
      </w:r>
      <w:r w:rsidR="00FF034F">
        <w:t>e DOJ highlighted</w:t>
      </w:r>
      <w:r w:rsidR="00A12926">
        <w:t xml:space="preserve"> an email from an auto manufacturer’s emp</w:t>
      </w:r>
      <w:r w:rsidR="00FF034F">
        <w:t>loyee praising the company for successfully avoiding a recall of potentially dangerous vehicles and thereby saving over $100 million in “unnecessary costs.”</w:t>
      </w:r>
      <w:r w:rsidR="00FF034F">
        <w:rPr>
          <w:rStyle w:val="FootnoteReference"/>
        </w:rPr>
        <w:footnoteReference w:id="49"/>
      </w:r>
      <w:r w:rsidR="00FF034F">
        <w:t xml:space="preserve"> The defect in these vehicles caused multiple deaths soon after.</w:t>
      </w:r>
      <w:r w:rsidR="00FF034F">
        <w:rPr>
          <w:rStyle w:val="FootnoteReference"/>
        </w:rPr>
        <w:footnoteReference w:id="50"/>
      </w:r>
      <w:r w:rsidR="000949B0">
        <w:t xml:space="preserve"> Finally, in a lawsuit against a pharmaceutical company, </w:t>
      </w:r>
      <w:r w:rsidR="001C254C">
        <w:t>the FDA cited communications from execu</w:t>
      </w:r>
      <w:r w:rsidR="00EF2766">
        <w:t xml:space="preserve">tives recommending that a </w:t>
      </w:r>
      <w:r w:rsidR="001C254C">
        <w:t>dementia drug be promoted as safe for eld</w:t>
      </w:r>
      <w:r w:rsidR="00EF2766">
        <w:t>erly patients</w:t>
      </w:r>
      <w:r w:rsidR="001C254C">
        <w:t xml:space="preserve">, </w:t>
      </w:r>
      <w:r w:rsidR="00CB1F8A">
        <w:t>despite studies</w:t>
      </w:r>
      <w:r w:rsidR="001C254C">
        <w:t xml:space="preserve"> to the contrary.</w:t>
      </w:r>
      <w:r w:rsidR="001C254C">
        <w:rPr>
          <w:rStyle w:val="FootnoteReference"/>
        </w:rPr>
        <w:footnoteReference w:id="51"/>
      </w:r>
      <w:r w:rsidR="001C254C">
        <w:t xml:space="preserve"> The </w:t>
      </w:r>
      <w:r w:rsidR="00411482">
        <w:t xml:space="preserve">primary </w:t>
      </w:r>
      <w:r w:rsidR="001C254C">
        <w:t>justification for this decision was that the drug was “the foundation” of the company’s “[long-term care] portfolio.”</w:t>
      </w:r>
      <w:r w:rsidR="005F6460">
        <w:rPr>
          <w:rStyle w:val="FootnoteReference"/>
        </w:rPr>
        <w:footnoteReference w:id="52"/>
      </w:r>
      <w:r w:rsidR="0032101D">
        <w:t xml:space="preserve"> </w:t>
      </w:r>
    </w:p>
    <w:p w:rsidR="00FF7C0A" w:rsidRDefault="00FF7C0A" w:rsidP="00FE543F">
      <w:pPr>
        <w:autoSpaceDE w:val="0"/>
        <w:autoSpaceDN w:val="0"/>
        <w:adjustRightInd w:val="0"/>
        <w:spacing w:after="0" w:line="240" w:lineRule="auto"/>
        <w:jc w:val="both"/>
      </w:pPr>
    </w:p>
    <w:p w:rsidR="00A24098" w:rsidRDefault="00FF7C0A" w:rsidP="00FE543F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32101D">
        <w:t>In sum</w:t>
      </w:r>
      <w:r>
        <w:t>mary</w:t>
      </w:r>
      <w:r w:rsidR="0032101D">
        <w:t xml:space="preserve">, all of these emails </w:t>
      </w:r>
      <w:r>
        <w:t xml:space="preserve">share a common thread—they </w:t>
      </w:r>
      <w:r w:rsidR="0032101D">
        <w:t xml:space="preserve">painted the companies involved in an extremely negative light and </w:t>
      </w:r>
      <w:r w:rsidR="00B6189F">
        <w:t>helped secure</w:t>
      </w:r>
      <w:r w:rsidR="00CB1F8A">
        <w:t xml:space="preserve"> a finding of liabil</w:t>
      </w:r>
      <w:r w:rsidR="002A20B0">
        <w:t>ity for each one.</w:t>
      </w:r>
    </w:p>
    <w:p w:rsidR="00D70B95" w:rsidRDefault="00D70B95" w:rsidP="00FE543F">
      <w:pPr>
        <w:autoSpaceDE w:val="0"/>
        <w:autoSpaceDN w:val="0"/>
        <w:adjustRightInd w:val="0"/>
        <w:spacing w:after="0" w:line="240" w:lineRule="auto"/>
        <w:jc w:val="both"/>
      </w:pPr>
    </w:p>
    <w:p w:rsidR="00D70B95" w:rsidRPr="00D83CEF" w:rsidRDefault="00D70B95" w:rsidP="00FE543F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D83CEF">
        <w:rPr>
          <w:b/>
          <w:sz w:val="28"/>
          <w:szCs w:val="28"/>
        </w:rPr>
        <w:t>IV.</w:t>
      </w:r>
      <w:r w:rsidRPr="00D83CEF">
        <w:rPr>
          <w:b/>
          <w:sz w:val="28"/>
          <w:szCs w:val="28"/>
        </w:rPr>
        <w:tab/>
        <w:t>Defeating the Enemy Within</w:t>
      </w:r>
    </w:p>
    <w:p w:rsidR="007C0413" w:rsidRDefault="007C0413" w:rsidP="00FE543F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7C0413" w:rsidRDefault="00EA2BD1" w:rsidP="00FE543F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Although the enemies within </w:t>
      </w:r>
      <w:r w:rsidR="0024181C">
        <w:t>pose a serious threat, they are not impervious to defeat.</w:t>
      </w:r>
      <w:r w:rsidR="00B6189F">
        <w:t xml:space="preserve"> That said, it is not enough for a company to merely identify where it is susceptible to attack. Fortunately, there</w:t>
      </w:r>
      <w:r w:rsidR="0024181C">
        <w:t xml:space="preserve"> are practical</w:t>
      </w:r>
      <w:r w:rsidR="004D739C">
        <w:t>, proactive</w:t>
      </w:r>
      <w:r w:rsidR="0024181C">
        <w:t xml:space="preserve"> steps tha</w:t>
      </w:r>
      <w:r w:rsidR="0024448F">
        <w:t>t companies can immediately pursue</w:t>
      </w:r>
      <w:r w:rsidR="0024181C">
        <w:t xml:space="preserve"> </w:t>
      </w:r>
      <w:r w:rsidR="00B6189F">
        <w:t xml:space="preserve">to </w:t>
      </w:r>
      <w:r w:rsidR="0024181C">
        <w:t>safeguard themselves and prevent future harm.</w:t>
      </w:r>
    </w:p>
    <w:p w:rsidR="00B6189F" w:rsidRDefault="00B6189F" w:rsidP="00FE543F">
      <w:pPr>
        <w:autoSpaceDE w:val="0"/>
        <w:autoSpaceDN w:val="0"/>
        <w:adjustRightInd w:val="0"/>
        <w:spacing w:after="0" w:line="240" w:lineRule="auto"/>
        <w:jc w:val="both"/>
      </w:pPr>
    </w:p>
    <w:p w:rsidR="001614E5" w:rsidRDefault="00B6189F" w:rsidP="00FE543F">
      <w:pPr>
        <w:autoSpaceDE w:val="0"/>
        <w:autoSpaceDN w:val="0"/>
        <w:adjustRightInd w:val="0"/>
        <w:spacing w:after="0" w:line="240" w:lineRule="auto"/>
        <w:jc w:val="both"/>
      </w:pPr>
      <w:r>
        <w:tab/>
        <w:t>First, companies should prioritize increased communication</w:t>
      </w:r>
      <w:r w:rsidR="003B1B1B">
        <w:t xml:space="preserve"> between their legal </w:t>
      </w:r>
      <w:r w:rsidR="00903022">
        <w:t>departments</w:t>
      </w:r>
      <w:r w:rsidR="003B1B1B">
        <w:t xml:space="preserve"> or </w:t>
      </w:r>
      <w:r>
        <w:t>outside counsel</w:t>
      </w:r>
      <w:r w:rsidR="009F4624">
        <w:t>,</w:t>
      </w:r>
      <w:r>
        <w:t xml:space="preserve"> and their risk management and compliance teams.</w:t>
      </w:r>
      <w:r w:rsidR="001614E5">
        <w:t xml:space="preserve"> In most companies, there is a divide between legal and risk/compliance departments as the former would generally prefer to limit communications and the latter would like to ensure that their reports are comprehensive and reach a sufficiently broad audience.</w:t>
      </w:r>
      <w:r w:rsidR="007A78F1">
        <w:t xml:space="preserve"> Although this tension is inherent in any company, these departments can work to strike an appropriate balance and add significant value to their companies</w:t>
      </w:r>
      <w:r w:rsidR="004D739C">
        <w:t xml:space="preserve"> if they work together to identify, contain, and solve problems</w:t>
      </w:r>
      <w:r w:rsidR="007A4B22">
        <w:t>. In that vein, a</w:t>
      </w:r>
      <w:r w:rsidR="007A5A13">
        <w:t>ttorneys should frequently review reports from the risk and compliance groups to ensure that the company is not inadvertently creating exposure for itself.</w:t>
      </w:r>
      <w:r w:rsidR="009F4624">
        <w:t xml:space="preserve"> Further, a company’s legal team can greatly assist with refining the language, legal or otherwise, included in reports.</w:t>
      </w:r>
    </w:p>
    <w:p w:rsidR="000C1D9F" w:rsidRDefault="000C1D9F" w:rsidP="00FE543F">
      <w:pPr>
        <w:autoSpaceDE w:val="0"/>
        <w:autoSpaceDN w:val="0"/>
        <w:adjustRightInd w:val="0"/>
        <w:spacing w:after="0" w:line="240" w:lineRule="auto"/>
        <w:jc w:val="both"/>
      </w:pPr>
    </w:p>
    <w:p w:rsidR="00C76C3B" w:rsidRDefault="000C1D9F" w:rsidP="00FE543F">
      <w:pPr>
        <w:autoSpaceDE w:val="0"/>
        <w:autoSpaceDN w:val="0"/>
        <w:adjustRightInd w:val="0"/>
        <w:spacing w:after="0" w:line="240" w:lineRule="auto"/>
        <w:jc w:val="both"/>
      </w:pPr>
      <w:r>
        <w:tab/>
        <w:t>Second, companies should invest appropriate resources in training their employees in best communications practices. As part of this effort, a company should “Mirandize”</w:t>
      </w:r>
      <w:r>
        <w:rPr>
          <w:rStyle w:val="FootnoteReference"/>
        </w:rPr>
        <w:footnoteReference w:id="53"/>
      </w:r>
      <w:r>
        <w:t xml:space="preserve"> all of its employees and inform them that anything they put in an email can, and will be used against the company in a court of law.</w:t>
      </w:r>
      <w:r w:rsidR="0014056F">
        <w:t xml:space="preserve"> In light of this</w:t>
      </w:r>
      <w:r w:rsidR="00245745">
        <w:t xml:space="preserve">, </w:t>
      </w:r>
      <w:r w:rsidR="009C72D4">
        <w:t xml:space="preserve">companies should stress that employees should never state in an email that “we </w:t>
      </w:r>
      <w:r w:rsidR="00FF1DB5">
        <w:t>broke</w:t>
      </w:r>
      <w:r w:rsidR="009C72D4">
        <w:t xml:space="preserve"> the law</w:t>
      </w:r>
      <w:r w:rsidR="00FF1DB5">
        <w:t xml:space="preserve">” or “we violated </w:t>
      </w:r>
      <w:r w:rsidR="009C72D4">
        <w:t>company policy.” If employees are concerned about potential issues, they should immediatel</w:t>
      </w:r>
      <w:r w:rsidR="00FF1DB5">
        <w:t>y meet with</w:t>
      </w:r>
      <w:r w:rsidR="009C72D4">
        <w:t xml:space="preserve"> the legal department before raising a potentially false</w:t>
      </w:r>
      <w:r w:rsidR="00FF1DB5">
        <w:t xml:space="preserve"> alarm and memorializing</w:t>
      </w:r>
      <w:r w:rsidR="000F4603">
        <w:t xml:space="preserve"> it in a written report. </w:t>
      </w:r>
      <w:r w:rsidR="004B732F">
        <w:t>Lastly, companies must educate their emplo</w:t>
      </w:r>
      <w:r w:rsidR="00C1402D">
        <w:t>yees about the limits</w:t>
      </w:r>
      <w:r w:rsidR="004B732F">
        <w:t xml:space="preserve"> of the attorney-client privilege. Employees need to know that carbon copying a lawyer does not automatically exempt their emails from discovery</w:t>
      </w:r>
      <w:r w:rsidR="00C1402D">
        <w:t xml:space="preserve">. </w:t>
      </w:r>
      <w:r w:rsidR="00C76C3B">
        <w:t>Indeed, t</w:t>
      </w:r>
      <w:r w:rsidR="00C1402D">
        <w:t>he pri</w:t>
      </w:r>
      <w:r w:rsidR="00C76C3B">
        <w:t xml:space="preserve">vilege is only guaranteed </w:t>
      </w:r>
      <w:r w:rsidR="00C1402D">
        <w:t>where an employee is specifically seeking legal advice, and not where the employee is merely referencing legal concepts or seeking a business opini</w:t>
      </w:r>
      <w:r w:rsidR="00C76C3B">
        <w:t>on</w:t>
      </w:r>
      <w:r w:rsidR="00C1402D">
        <w:t>.</w:t>
      </w:r>
      <w:r w:rsidR="00C76C3B">
        <w:t xml:space="preserve"> Although some of these suggestions appear intuitive, their consistent impl</w:t>
      </w:r>
      <w:r w:rsidR="00485160">
        <w:t>ementation remains</w:t>
      </w:r>
      <w:r w:rsidR="00C76C3B">
        <w:t xml:space="preserve"> a challenge for many companies</w:t>
      </w:r>
      <w:r w:rsidR="00351484">
        <w:t xml:space="preserve">, leaving them open to the possibility of </w:t>
      </w:r>
      <w:r w:rsidR="00C76C3B">
        <w:t>se</w:t>
      </w:r>
      <w:r w:rsidR="00485160">
        <w:t>vere</w:t>
      </w:r>
      <w:r w:rsidR="00C76C3B">
        <w:t xml:space="preserve"> </w:t>
      </w:r>
      <w:r w:rsidR="00CF14E1">
        <w:t>financial repercussions.</w:t>
      </w:r>
    </w:p>
    <w:p w:rsidR="00C76C3B" w:rsidRDefault="00C76C3B" w:rsidP="00FE543F">
      <w:pPr>
        <w:autoSpaceDE w:val="0"/>
        <w:autoSpaceDN w:val="0"/>
        <w:adjustRightInd w:val="0"/>
        <w:spacing w:after="0" w:line="240" w:lineRule="auto"/>
        <w:jc w:val="both"/>
      </w:pPr>
    </w:p>
    <w:p w:rsidR="001614E5" w:rsidRDefault="00C76C3B" w:rsidP="00FE543F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Continuing </w:t>
      </w:r>
      <w:r w:rsidR="0020446B">
        <w:t>on this theme</w:t>
      </w:r>
      <w:r w:rsidR="00325152">
        <w:t xml:space="preserve">, companies should institute a clear chain of communication for the </w:t>
      </w:r>
      <w:r w:rsidR="00C92A7B">
        <w:t xml:space="preserve">types of </w:t>
      </w:r>
      <w:r w:rsidR="00325152">
        <w:t xml:space="preserve">issues that they routinely face. </w:t>
      </w:r>
      <w:r w:rsidR="00892931">
        <w:t>To prevent the</w:t>
      </w:r>
      <w:r w:rsidR="00C92A7B">
        <w:t xml:space="preserve"> </w:t>
      </w:r>
      <w:r w:rsidR="00892931">
        <w:t>intermittent</w:t>
      </w:r>
      <w:r w:rsidR="00C92A7B">
        <w:t xml:space="preserve"> copying </w:t>
      </w:r>
      <w:r w:rsidR="00892931">
        <w:t xml:space="preserve">of numerous </w:t>
      </w:r>
      <w:r w:rsidR="00C92A7B">
        <w:t xml:space="preserve">individuals, companies should provide employees with clear direction as to which departments and individuals need to be included </w:t>
      </w:r>
      <w:r w:rsidR="005E2129">
        <w:t>in</w:t>
      </w:r>
      <w:r w:rsidR="00892931">
        <w:t xml:space="preserve"> any given situation</w:t>
      </w:r>
      <w:r w:rsidR="00C92A7B">
        <w:t xml:space="preserve">. This will help contain sensitive issues and limit the ability of the government and private litigants to go on a fishing expedition. Additionally, </w:t>
      </w:r>
      <w:r w:rsidR="00892931">
        <w:t xml:space="preserve">given the influence of the Yates Memo, companies should have clear </w:t>
      </w:r>
      <w:r w:rsidR="005E2129">
        <w:t>escalation procedures to avoid needlessly involving company executives and m</w:t>
      </w:r>
      <w:r w:rsidR="00371C91">
        <w:t>aking them a target for</w:t>
      </w:r>
      <w:r w:rsidR="005E2129">
        <w:t xml:space="preserve"> a potential DOJ investigation.</w:t>
      </w:r>
    </w:p>
    <w:p w:rsidR="00C94CBA" w:rsidRDefault="00C94CBA" w:rsidP="00FE543F">
      <w:pPr>
        <w:autoSpaceDE w:val="0"/>
        <w:autoSpaceDN w:val="0"/>
        <w:adjustRightInd w:val="0"/>
        <w:spacing w:after="0" w:line="240" w:lineRule="auto"/>
        <w:jc w:val="both"/>
      </w:pPr>
    </w:p>
    <w:p w:rsidR="00C94CBA" w:rsidRDefault="00C94CBA" w:rsidP="00FE543F">
      <w:pPr>
        <w:autoSpaceDE w:val="0"/>
        <w:autoSpaceDN w:val="0"/>
        <w:adjustRightInd w:val="0"/>
        <w:spacing w:after="0" w:line="240" w:lineRule="auto"/>
        <w:jc w:val="both"/>
      </w:pPr>
      <w:r>
        <w:tab/>
        <w:t>Finally, companies must strive to close the gap between the identification and resolution of problems.</w:t>
      </w:r>
      <w:r w:rsidR="0004482D">
        <w:t xml:space="preserve"> Risk management and compliance reports quickly turn harmful when the problems that they identify remain unaddressed. In such a scenario, these reports, often </w:t>
      </w:r>
      <w:r w:rsidR="00086BCE">
        <w:t>submitted</w:t>
      </w:r>
      <w:r w:rsidR="00B942C7">
        <w:t xml:space="preserve"> for consecutive</w:t>
      </w:r>
      <w:r w:rsidR="0004482D">
        <w:t xml:space="preserve"> years</w:t>
      </w:r>
      <w:r w:rsidR="00B942C7">
        <w:t xml:space="preserve"> to little effect</w:t>
      </w:r>
      <w:r w:rsidR="0004482D">
        <w:t>, condemn a company by showing</w:t>
      </w:r>
      <w:r w:rsidR="00086BCE">
        <w:t xml:space="preserve"> that</w:t>
      </w:r>
      <w:r w:rsidR="0004482D">
        <w:t xml:space="preserve"> the company (1) had actual knowledge of the i</w:t>
      </w:r>
      <w:r w:rsidR="00086BCE">
        <w:t>ssues in question</w:t>
      </w:r>
      <w:r w:rsidR="0004482D">
        <w:t>; and (2) did nothing to cure them.</w:t>
      </w:r>
      <w:r w:rsidR="00086BCE">
        <w:t xml:space="preserve"> </w:t>
      </w:r>
      <w:r w:rsidR="009D3041">
        <w:t xml:space="preserve">To avoid this outcome, </w:t>
      </w:r>
      <w:r w:rsidR="004B316A">
        <w:t xml:space="preserve">companies should direct their risk and compliance departments to only memorialize </w:t>
      </w:r>
      <w:r w:rsidR="00045E80">
        <w:t xml:space="preserve">an identified </w:t>
      </w:r>
      <w:r w:rsidR="004B316A">
        <w:t>probl</w:t>
      </w:r>
      <w:r w:rsidR="00045E80">
        <w:t xml:space="preserve">em </w:t>
      </w:r>
      <w:r w:rsidR="004B316A">
        <w:t>once they ha</w:t>
      </w:r>
      <w:r w:rsidR="003056AC">
        <w:t>ve developed a tangible</w:t>
      </w:r>
      <w:r w:rsidR="004B316A">
        <w:t xml:space="preserve"> solution to the same.</w:t>
      </w:r>
      <w:r w:rsidR="003056AC">
        <w:t xml:space="preserve"> This solution should also contain an estimated completion date</w:t>
      </w:r>
      <w:r w:rsidR="004D2A8F">
        <w:t>,</w:t>
      </w:r>
      <w:r w:rsidR="003056AC">
        <w:t xml:space="preserve"> as well as schedule</w:t>
      </w:r>
      <w:r w:rsidR="004D2A8F">
        <w:t>d</w:t>
      </w:r>
      <w:r w:rsidR="003056AC">
        <w:t xml:space="preserve"> check-ins at appropriate intervals. In this way, companies can show regulators that they are actively addressing problems rather than letting them languish </w:t>
      </w:r>
      <w:r w:rsidR="00B942C7">
        <w:t xml:space="preserve">from </w:t>
      </w:r>
      <w:r w:rsidR="003056AC">
        <w:t>year to year.</w:t>
      </w:r>
    </w:p>
    <w:p w:rsidR="0024181C" w:rsidRDefault="0024181C" w:rsidP="00FE543F">
      <w:pPr>
        <w:autoSpaceDE w:val="0"/>
        <w:autoSpaceDN w:val="0"/>
        <w:adjustRightInd w:val="0"/>
        <w:spacing w:after="0" w:line="240" w:lineRule="auto"/>
        <w:jc w:val="both"/>
      </w:pPr>
    </w:p>
    <w:p w:rsidR="0024181C" w:rsidRPr="007A5A13" w:rsidRDefault="0024181C" w:rsidP="0024181C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7A5A13">
        <w:rPr>
          <w:b/>
          <w:sz w:val="28"/>
          <w:szCs w:val="28"/>
        </w:rPr>
        <w:t>V.</w:t>
      </w:r>
      <w:r w:rsidRPr="007A5A13">
        <w:rPr>
          <w:b/>
          <w:sz w:val="28"/>
          <w:szCs w:val="28"/>
        </w:rPr>
        <w:tab/>
        <w:t>Conclusion</w:t>
      </w:r>
    </w:p>
    <w:p w:rsidR="0024181C" w:rsidRDefault="0024181C" w:rsidP="00FE543F">
      <w:pPr>
        <w:autoSpaceDE w:val="0"/>
        <w:autoSpaceDN w:val="0"/>
        <w:adjustRightInd w:val="0"/>
        <w:spacing w:after="0" w:line="240" w:lineRule="auto"/>
        <w:jc w:val="both"/>
      </w:pPr>
    </w:p>
    <w:p w:rsidR="0024181C" w:rsidRPr="00EA2BD1" w:rsidRDefault="0024181C" w:rsidP="00FE543F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4A5190">
        <w:t xml:space="preserve">As noted by the proverb at the beginning of this paper, if a company can overcome the enemies within, it stands a much greater chance of prevailing against its external foes. With the changing of the presidential administration, however, companies may be tempted to delay adopting the </w:t>
      </w:r>
      <w:r w:rsidR="003A71B2">
        <w:t>strategies</w:t>
      </w:r>
      <w:r w:rsidR="004A5190">
        <w:t xml:space="preserve"> recommended above. </w:t>
      </w:r>
      <w:r w:rsidR="002C6C02">
        <w:t xml:space="preserve">This is likely </w:t>
      </w:r>
      <w:r w:rsidR="00AE7F01">
        <w:t xml:space="preserve">because President Trump </w:t>
      </w:r>
      <w:r w:rsidR="003A71B2">
        <w:t>has promised, “We think we can cut regulations by 75 percent, maybe more.”</w:t>
      </w:r>
      <w:r w:rsidR="003A71B2">
        <w:rPr>
          <w:rStyle w:val="FootnoteReference"/>
        </w:rPr>
        <w:footnoteReference w:id="54"/>
      </w:r>
      <w:r w:rsidR="0053338A">
        <w:t xml:space="preserve"> And while </w:t>
      </w:r>
      <w:r w:rsidR="00F0364F">
        <w:t xml:space="preserve">Trump’s DOJ may be less aggressive than its </w:t>
      </w:r>
      <w:r w:rsidR="005F542A">
        <w:t>predecessor</w:t>
      </w:r>
      <w:r w:rsidR="00F0364F">
        <w:t xml:space="preserve"> during the Obama Administration,</w:t>
      </w:r>
      <w:r w:rsidR="00C6179A">
        <w:t xml:space="preserve"> companies are</w:t>
      </w:r>
      <w:r w:rsidR="00F0364F">
        <w:t xml:space="preserve"> still wise </w:t>
      </w:r>
      <w:r w:rsidR="002C6C02">
        <w:t xml:space="preserve">to </w:t>
      </w:r>
      <w:r w:rsidR="00F0364F">
        <w:t>look inward and invest the necessary resources to make changes.</w:t>
      </w:r>
      <w:r w:rsidR="00C6179A">
        <w:t xml:space="preserve"> </w:t>
      </w:r>
      <w:r w:rsidR="00305CE1">
        <w:t xml:space="preserve">The Yates Memo is </w:t>
      </w:r>
      <w:r w:rsidR="007B226A">
        <w:t>a prime example of why</w:t>
      </w:r>
      <w:r w:rsidR="00305CE1">
        <w:t xml:space="preserve">. </w:t>
      </w:r>
      <w:r w:rsidR="00635527">
        <w:t>As Sally Yate</w:t>
      </w:r>
      <w:r w:rsidR="0053338A">
        <w:t>s commented before her termination</w:t>
      </w:r>
      <w:r w:rsidR="00635527">
        <w:t>, she believes that her eponymous memo will persist as there are multiple investigations in the pipeline</w:t>
      </w:r>
      <w:r w:rsidR="008F6B66">
        <w:t xml:space="preserve"> impacted by</w:t>
      </w:r>
      <w:r w:rsidR="00635527">
        <w:t xml:space="preserve"> the memo’</w:t>
      </w:r>
      <w:r w:rsidR="008F6B66">
        <w:t>s guidelines</w:t>
      </w:r>
      <w:r w:rsidR="00635527">
        <w:t>.</w:t>
      </w:r>
      <w:r w:rsidR="00635527">
        <w:rPr>
          <w:rStyle w:val="FootnoteReference"/>
        </w:rPr>
        <w:footnoteReference w:id="55"/>
      </w:r>
      <w:r w:rsidR="003D3A15">
        <w:t xml:space="preserve"> </w:t>
      </w:r>
      <w:r w:rsidR="006A2394">
        <w:t>Further, s</w:t>
      </w:r>
      <w:r w:rsidR="003D3A15">
        <w:t xml:space="preserve">ome individuals argue that Trump will continue to follow the memo due to his tough stance on anti-corruption, assisted by </w:t>
      </w:r>
      <w:r w:rsidR="006A2394">
        <w:t xml:space="preserve">former prosecutor, and current </w:t>
      </w:r>
      <w:r w:rsidR="003D3A15">
        <w:t>Attorney General</w:t>
      </w:r>
      <w:r w:rsidR="00E40512">
        <w:t>,</w:t>
      </w:r>
      <w:r w:rsidR="003D3A15">
        <w:t xml:space="preserve"> Jeff Sessions.</w:t>
      </w:r>
      <w:r w:rsidR="001D3F04">
        <w:rPr>
          <w:rStyle w:val="FootnoteReference"/>
        </w:rPr>
        <w:footnoteReference w:id="56"/>
      </w:r>
      <w:r w:rsidR="001D3F04">
        <w:t xml:space="preserve"> In any event, companies should </w:t>
      </w:r>
      <w:r w:rsidR="00DE5DFE">
        <w:t xml:space="preserve">not find any reason to ignore their internal enemies, because such neglect all but guarantees </w:t>
      </w:r>
      <w:r w:rsidR="00E40512">
        <w:t>a stinging</w:t>
      </w:r>
      <w:r w:rsidR="00DE5DFE">
        <w:t xml:space="preserve"> defeat.</w:t>
      </w:r>
    </w:p>
    <w:sectPr w:rsidR="0024181C" w:rsidRPr="00EA2BD1" w:rsidSect="00A21F42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48D" w:rsidRDefault="0019348D" w:rsidP="00A21F42">
      <w:pPr>
        <w:spacing w:after="0" w:line="240" w:lineRule="auto"/>
      </w:pPr>
      <w:r>
        <w:separator/>
      </w:r>
    </w:p>
  </w:endnote>
  <w:endnote w:type="continuationSeparator" w:id="0">
    <w:p w:rsidR="0019348D" w:rsidRDefault="0019348D" w:rsidP="00A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8D" w:rsidRPr="009445B5" w:rsidRDefault="0019348D">
    <w:pPr>
      <w:pStyle w:val="Footer"/>
      <w:jc w:val="center"/>
      <w:rPr>
        <w:sz w:val="22"/>
        <w:szCs w:val="22"/>
      </w:rPr>
    </w:pPr>
    <w:r w:rsidRPr="009445B5">
      <w:rPr>
        <w:sz w:val="22"/>
        <w:szCs w:val="22"/>
      </w:rPr>
      <w:fldChar w:fldCharType="begin"/>
    </w:r>
    <w:r w:rsidRPr="009445B5">
      <w:rPr>
        <w:sz w:val="22"/>
        <w:szCs w:val="22"/>
      </w:rPr>
      <w:instrText xml:space="preserve"> PAGE   \* MERGEFORMAT </w:instrText>
    </w:r>
    <w:r w:rsidRPr="009445B5">
      <w:rPr>
        <w:sz w:val="22"/>
        <w:szCs w:val="22"/>
      </w:rPr>
      <w:fldChar w:fldCharType="separate"/>
    </w:r>
    <w:r w:rsidR="00F61296">
      <w:rPr>
        <w:noProof/>
        <w:sz w:val="22"/>
        <w:szCs w:val="22"/>
      </w:rPr>
      <w:t>1</w:t>
    </w:r>
    <w:r w:rsidRPr="009445B5">
      <w:rPr>
        <w:noProof/>
        <w:sz w:val="22"/>
        <w:szCs w:val="22"/>
      </w:rPr>
      <w:fldChar w:fldCharType="end"/>
    </w:r>
  </w:p>
  <w:p w:rsidR="0019348D" w:rsidRDefault="001934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48D" w:rsidRDefault="0019348D" w:rsidP="00A21F42">
      <w:pPr>
        <w:spacing w:after="0" w:line="240" w:lineRule="auto"/>
      </w:pPr>
      <w:r>
        <w:separator/>
      </w:r>
    </w:p>
  </w:footnote>
  <w:footnote w:type="continuationSeparator" w:id="0">
    <w:p w:rsidR="0019348D" w:rsidRDefault="0019348D" w:rsidP="00A21F42">
      <w:pPr>
        <w:spacing w:after="0" w:line="240" w:lineRule="auto"/>
      </w:pPr>
      <w:r>
        <w:continuationSeparator/>
      </w:r>
    </w:p>
  </w:footnote>
  <w:footnote w:id="1">
    <w:p w:rsidR="0019348D" w:rsidRPr="001B5E1A" w:rsidRDefault="0019348D" w:rsidP="00DD5C09">
      <w:pPr>
        <w:pStyle w:val="FootnoteText"/>
        <w:widowControl w:val="0"/>
        <w:jc w:val="both"/>
        <w:rPr>
          <w:sz w:val="22"/>
          <w:szCs w:val="22"/>
        </w:rPr>
      </w:pPr>
      <w:r w:rsidRPr="001B5E1A">
        <w:rPr>
          <w:rStyle w:val="FootnoteReference"/>
          <w:sz w:val="22"/>
          <w:szCs w:val="22"/>
        </w:rPr>
        <w:footnoteRef/>
      </w:r>
      <w:r w:rsidRPr="001B5E1A">
        <w:rPr>
          <w:sz w:val="22"/>
          <w:szCs w:val="22"/>
        </w:rPr>
        <w:t xml:space="preserve"> 31 U.S.C. §§ 3729 - 3733</w:t>
      </w:r>
    </w:p>
  </w:footnote>
  <w:footnote w:id="2">
    <w:p w:rsidR="0019348D" w:rsidRPr="001B5E1A" w:rsidRDefault="0019348D" w:rsidP="00DD5C09">
      <w:pPr>
        <w:pStyle w:val="FootnoteText"/>
        <w:widowControl w:val="0"/>
        <w:jc w:val="both"/>
        <w:rPr>
          <w:sz w:val="22"/>
          <w:szCs w:val="22"/>
        </w:rPr>
      </w:pPr>
      <w:r w:rsidRPr="001B5E1A">
        <w:rPr>
          <w:rStyle w:val="FootnoteReference"/>
          <w:sz w:val="22"/>
          <w:szCs w:val="22"/>
        </w:rPr>
        <w:footnoteRef/>
      </w:r>
      <w:r w:rsidRPr="001B5E1A">
        <w:rPr>
          <w:sz w:val="22"/>
          <w:szCs w:val="22"/>
        </w:rPr>
        <w:t xml:space="preserve"> 31 U.S.C. § 3733(a)(1).</w:t>
      </w:r>
    </w:p>
  </w:footnote>
  <w:footnote w:id="3">
    <w:p w:rsidR="0019348D" w:rsidRPr="001B5E1A" w:rsidRDefault="0019348D" w:rsidP="00DD5C09">
      <w:pPr>
        <w:pStyle w:val="FootnoteText"/>
        <w:widowControl w:val="0"/>
        <w:jc w:val="both"/>
        <w:rPr>
          <w:i/>
          <w:sz w:val="22"/>
          <w:szCs w:val="22"/>
        </w:rPr>
      </w:pPr>
      <w:r w:rsidRPr="001B5E1A">
        <w:rPr>
          <w:rStyle w:val="FootnoteReference"/>
          <w:sz w:val="22"/>
          <w:szCs w:val="22"/>
        </w:rPr>
        <w:footnoteRef/>
      </w:r>
      <w:r w:rsidRPr="001B5E1A">
        <w:rPr>
          <w:sz w:val="22"/>
          <w:szCs w:val="22"/>
        </w:rPr>
        <w:t xml:space="preserve"> </w:t>
      </w:r>
      <w:r w:rsidRPr="001B5E1A">
        <w:rPr>
          <w:i/>
          <w:sz w:val="22"/>
          <w:szCs w:val="22"/>
        </w:rPr>
        <w:t>Id.</w:t>
      </w:r>
    </w:p>
  </w:footnote>
  <w:footnote w:id="4">
    <w:p w:rsidR="0019348D" w:rsidRPr="001B5E1A" w:rsidRDefault="0019348D" w:rsidP="00DD5C09">
      <w:pPr>
        <w:pStyle w:val="FootnoteText"/>
        <w:widowControl w:val="0"/>
        <w:jc w:val="both"/>
        <w:rPr>
          <w:sz w:val="22"/>
          <w:szCs w:val="22"/>
        </w:rPr>
      </w:pPr>
      <w:r w:rsidRPr="001B5E1A">
        <w:rPr>
          <w:rStyle w:val="FootnoteReference"/>
          <w:sz w:val="22"/>
          <w:szCs w:val="22"/>
        </w:rPr>
        <w:footnoteRef/>
      </w:r>
      <w:r w:rsidRPr="001B5E1A">
        <w:rPr>
          <w:sz w:val="22"/>
          <w:szCs w:val="22"/>
        </w:rPr>
        <w:t xml:space="preserve"> Pub. 2. 111-21, 123 Stat 1617 (2009).</w:t>
      </w:r>
    </w:p>
  </w:footnote>
  <w:footnote w:id="5">
    <w:p w:rsidR="0019348D" w:rsidRPr="001B5E1A" w:rsidRDefault="0019348D" w:rsidP="00DD5C09">
      <w:pPr>
        <w:pStyle w:val="FootnoteText"/>
        <w:widowControl w:val="0"/>
        <w:jc w:val="both"/>
        <w:rPr>
          <w:i/>
          <w:iCs/>
          <w:sz w:val="22"/>
          <w:szCs w:val="22"/>
        </w:rPr>
      </w:pPr>
      <w:r w:rsidRPr="001B5E1A">
        <w:rPr>
          <w:rStyle w:val="FootnoteReference"/>
          <w:sz w:val="22"/>
          <w:szCs w:val="22"/>
        </w:rPr>
        <w:footnoteRef/>
      </w:r>
      <w:r w:rsidRPr="001B5E1A">
        <w:rPr>
          <w:sz w:val="22"/>
          <w:szCs w:val="22"/>
        </w:rPr>
        <w:t xml:space="preserve"> Marcia Coyle, </w:t>
      </w:r>
      <w:r w:rsidRPr="001B5E1A">
        <w:rPr>
          <w:i/>
          <w:iCs/>
          <w:sz w:val="22"/>
          <w:szCs w:val="22"/>
        </w:rPr>
        <w:t>Fears Rise Over New Fraud Law</w:t>
      </w:r>
      <w:r w:rsidR="00635527">
        <w:rPr>
          <w:sz w:val="22"/>
          <w:szCs w:val="22"/>
        </w:rPr>
        <w:t>, NAT’</w:t>
      </w:r>
      <w:r w:rsidRPr="001B5E1A">
        <w:rPr>
          <w:sz w:val="22"/>
          <w:szCs w:val="22"/>
        </w:rPr>
        <w:t xml:space="preserve">L L. J. (May 25, 2009), </w:t>
      </w:r>
      <w:r w:rsidRPr="001B5E1A">
        <w:rPr>
          <w:i/>
          <w:iCs/>
          <w:sz w:val="22"/>
          <w:szCs w:val="22"/>
        </w:rPr>
        <w:t>available at</w:t>
      </w:r>
    </w:p>
    <w:p w:rsidR="0019348D" w:rsidRPr="00805C83" w:rsidRDefault="0019348D" w:rsidP="00DD5C09">
      <w:pPr>
        <w:pStyle w:val="FootnoteText"/>
        <w:widowControl w:val="0"/>
        <w:jc w:val="both"/>
        <w:rPr>
          <w:sz w:val="22"/>
          <w:szCs w:val="22"/>
        </w:rPr>
      </w:pPr>
      <w:r w:rsidRPr="009D08F0">
        <w:rPr>
          <w:sz w:val="22"/>
          <w:szCs w:val="22"/>
        </w:rPr>
        <w:t>http:</w:t>
      </w:r>
      <w:r w:rsidRPr="00805C83">
        <w:rPr>
          <w:sz w:val="22"/>
          <w:szCs w:val="22"/>
        </w:rPr>
        <w:t xml:space="preserve">//www.law.com/jsp/nlj/PubArticleNLJ.jsp?id=1202430941952; </w:t>
      </w:r>
      <w:r w:rsidRPr="00805C83">
        <w:rPr>
          <w:i/>
          <w:sz w:val="22"/>
          <w:szCs w:val="22"/>
        </w:rPr>
        <w:t>see also</w:t>
      </w:r>
      <w:r w:rsidRPr="00805C83">
        <w:rPr>
          <w:sz w:val="22"/>
          <w:szCs w:val="22"/>
        </w:rPr>
        <w:t xml:space="preserve"> 31 U.S.C. § 3733(a)(1).</w:t>
      </w:r>
    </w:p>
  </w:footnote>
  <w:footnote w:id="6">
    <w:p w:rsidR="0019348D" w:rsidRPr="00805C83" w:rsidRDefault="0019348D" w:rsidP="00DD5C09">
      <w:pPr>
        <w:pStyle w:val="FootnoteText"/>
        <w:widowControl w:val="0"/>
        <w:jc w:val="both"/>
        <w:rPr>
          <w:i/>
          <w:sz w:val="22"/>
          <w:szCs w:val="22"/>
        </w:rPr>
      </w:pPr>
      <w:r w:rsidRPr="00805C83">
        <w:rPr>
          <w:rStyle w:val="FootnoteReference"/>
          <w:sz w:val="22"/>
          <w:szCs w:val="22"/>
        </w:rPr>
        <w:footnoteRef/>
      </w:r>
      <w:r w:rsidRPr="00805C83">
        <w:rPr>
          <w:sz w:val="22"/>
          <w:szCs w:val="22"/>
        </w:rPr>
        <w:t xml:space="preserve"> </w:t>
      </w:r>
      <w:r w:rsidRPr="00805C83">
        <w:rPr>
          <w:i/>
          <w:sz w:val="22"/>
          <w:szCs w:val="22"/>
        </w:rPr>
        <w:t>See</w:t>
      </w:r>
      <w:r w:rsidRPr="00805C83">
        <w:rPr>
          <w:sz w:val="22"/>
          <w:szCs w:val="22"/>
        </w:rPr>
        <w:t xml:space="preserve"> </w:t>
      </w:r>
      <w:r w:rsidRPr="00805C83">
        <w:rPr>
          <w:i/>
          <w:sz w:val="22"/>
          <w:szCs w:val="22"/>
        </w:rPr>
        <w:t>id.</w:t>
      </w:r>
    </w:p>
  </w:footnote>
  <w:footnote w:id="7">
    <w:p w:rsidR="0019348D" w:rsidRPr="00B37F28" w:rsidRDefault="0019348D" w:rsidP="00DD5C09">
      <w:pPr>
        <w:pStyle w:val="FootnoteText"/>
        <w:widowControl w:val="0"/>
        <w:jc w:val="both"/>
        <w:rPr>
          <w:sz w:val="22"/>
          <w:szCs w:val="22"/>
        </w:rPr>
      </w:pPr>
      <w:r w:rsidRPr="00805C83">
        <w:rPr>
          <w:rStyle w:val="FootnoteReference"/>
          <w:sz w:val="22"/>
          <w:szCs w:val="22"/>
        </w:rPr>
        <w:footnoteRef/>
      </w:r>
      <w:r w:rsidRPr="00805C83">
        <w:rPr>
          <w:sz w:val="22"/>
          <w:szCs w:val="22"/>
        </w:rPr>
        <w:t xml:space="preserve"> William C. Athanas &amp; Jennifer L. Weaver, </w:t>
      </w:r>
      <w:r w:rsidRPr="00805C83">
        <w:rPr>
          <w:i/>
          <w:sz w:val="22"/>
          <w:szCs w:val="22"/>
        </w:rPr>
        <w:t>What to do When the Government Asks for Everything: Strategies for Healthcare Companies to Negotiate the Scope of Civil Investigative Demands in False Claims Act Investigations</w:t>
      </w:r>
      <w:r w:rsidRPr="00805C83">
        <w:rPr>
          <w:sz w:val="22"/>
          <w:szCs w:val="22"/>
        </w:rPr>
        <w:t xml:space="preserve">, </w:t>
      </w:r>
      <w:r w:rsidRPr="00805C83">
        <w:rPr>
          <w:smallCaps/>
          <w:sz w:val="22"/>
          <w:szCs w:val="22"/>
        </w:rPr>
        <w:t>American Bar Association Health eSource</w:t>
      </w:r>
      <w:r w:rsidRPr="00805C83">
        <w:rPr>
          <w:sz w:val="22"/>
          <w:szCs w:val="22"/>
        </w:rPr>
        <w:t xml:space="preserve">, </w:t>
      </w:r>
      <w:r w:rsidRPr="00805C83">
        <w:rPr>
          <w:i/>
          <w:sz w:val="22"/>
          <w:szCs w:val="22"/>
        </w:rPr>
        <w:t>available at</w:t>
      </w:r>
      <w:r w:rsidRPr="00805C83">
        <w:rPr>
          <w:sz w:val="22"/>
          <w:szCs w:val="22"/>
        </w:rPr>
        <w:t xml:space="preserve"> http://www</w:t>
      </w:r>
      <w:r w:rsidRPr="00C04886">
        <w:rPr>
          <w:sz w:val="22"/>
          <w:szCs w:val="22"/>
        </w:rPr>
        <w:t>.a</w:t>
      </w:r>
      <w:r w:rsidRPr="00B37F28">
        <w:rPr>
          <w:sz w:val="22"/>
          <w:szCs w:val="22"/>
        </w:rPr>
        <w:t>mericanbar.org/publications/aba_health_esource/2013-14/january/what_to_do.html.</w:t>
      </w:r>
    </w:p>
  </w:footnote>
  <w:footnote w:id="8">
    <w:p w:rsidR="0019348D" w:rsidRPr="00C308D8" w:rsidRDefault="0019348D" w:rsidP="00DD5C09">
      <w:pPr>
        <w:pStyle w:val="FootnoteText"/>
        <w:widowControl w:val="0"/>
        <w:jc w:val="both"/>
        <w:rPr>
          <w:smallCaps/>
          <w:sz w:val="22"/>
          <w:szCs w:val="22"/>
        </w:rPr>
      </w:pPr>
      <w:r w:rsidRPr="00B37F28">
        <w:rPr>
          <w:rStyle w:val="FootnoteReference"/>
          <w:sz w:val="22"/>
          <w:szCs w:val="22"/>
        </w:rPr>
        <w:footnoteRef/>
      </w:r>
      <w:r w:rsidRPr="00B37F28">
        <w:rPr>
          <w:sz w:val="22"/>
          <w:szCs w:val="22"/>
        </w:rPr>
        <w:t xml:space="preserve"> </w:t>
      </w:r>
      <w:r w:rsidRPr="00B37F28">
        <w:rPr>
          <w:sz w:val="22"/>
          <w:szCs w:val="22"/>
          <w:lang w:val="en"/>
        </w:rPr>
        <w:t xml:space="preserve">The U.S. Department of Justice obtained a record $5.69 billion in settlements and judgments from civil cases involving fraud and false claims against the government in the fiscal year. </w:t>
      </w:r>
      <w:r w:rsidRPr="00B37F28">
        <w:rPr>
          <w:smallCaps/>
          <w:sz w:val="22"/>
          <w:szCs w:val="22"/>
          <w:lang w:val="en"/>
        </w:rPr>
        <w:t xml:space="preserve">U.S. Department of Justice, </w:t>
      </w:r>
      <w:r w:rsidRPr="00B37F28">
        <w:rPr>
          <w:i/>
          <w:sz w:val="22"/>
          <w:szCs w:val="22"/>
          <w:lang w:val="en"/>
        </w:rPr>
        <w:t>Justice Department Recovers Nearly $6 Billion from False Claims Acts Cases in Fiscal Year 2014</w:t>
      </w:r>
      <w:r>
        <w:rPr>
          <w:sz w:val="22"/>
          <w:szCs w:val="22"/>
          <w:lang w:val="en"/>
        </w:rPr>
        <w:t xml:space="preserve"> (Nov. 20, 2014), </w:t>
      </w:r>
      <w:r w:rsidRPr="00C308D8">
        <w:rPr>
          <w:sz w:val="22"/>
          <w:szCs w:val="22"/>
          <w:lang w:val="en"/>
        </w:rPr>
        <w:t>https://www.justice.gov/opa/pr/justice-department-recovers-nearly-6-billion-false-claims-act-cases-fiscal-year-2014.</w:t>
      </w:r>
    </w:p>
  </w:footnote>
  <w:footnote w:id="9">
    <w:p w:rsidR="0019348D" w:rsidRPr="000B6439" w:rsidRDefault="0019348D" w:rsidP="00DD5C09">
      <w:pPr>
        <w:pStyle w:val="FootnoteText"/>
        <w:widowControl w:val="0"/>
        <w:jc w:val="both"/>
        <w:rPr>
          <w:i/>
          <w:sz w:val="22"/>
          <w:szCs w:val="22"/>
        </w:rPr>
      </w:pPr>
      <w:r w:rsidRPr="00C308D8">
        <w:rPr>
          <w:rStyle w:val="FootnoteReference"/>
          <w:sz w:val="22"/>
          <w:szCs w:val="22"/>
        </w:rPr>
        <w:footnoteRef/>
      </w:r>
      <w:r w:rsidRPr="00C308D8">
        <w:rPr>
          <w:sz w:val="22"/>
          <w:szCs w:val="22"/>
        </w:rPr>
        <w:t xml:space="preserve"> </w:t>
      </w:r>
      <w:r w:rsidRPr="00C308D8">
        <w:rPr>
          <w:smallCaps/>
          <w:sz w:val="22"/>
          <w:szCs w:val="22"/>
          <w:lang w:val="en"/>
        </w:rPr>
        <w:t>U.S. Department of Justice,</w:t>
      </w:r>
      <w:r w:rsidRPr="00C308D8">
        <w:rPr>
          <w:sz w:val="22"/>
          <w:szCs w:val="22"/>
          <w:lang w:val="en"/>
        </w:rPr>
        <w:t xml:space="preserve"> </w:t>
      </w:r>
      <w:r w:rsidRPr="00C308D8">
        <w:rPr>
          <w:i/>
          <w:sz w:val="22"/>
          <w:szCs w:val="22"/>
          <w:lang w:val="en"/>
        </w:rPr>
        <w:t>Justice Department Recovers Over $4.7 Billion from False Claims Act Cases in Fiscal Year 2016</w:t>
      </w:r>
      <w:r w:rsidR="00D631EE">
        <w:rPr>
          <w:sz w:val="22"/>
          <w:szCs w:val="22"/>
          <w:lang w:val="en"/>
        </w:rPr>
        <w:t xml:space="preserve"> </w:t>
      </w:r>
      <w:r>
        <w:rPr>
          <w:sz w:val="22"/>
          <w:szCs w:val="22"/>
          <w:lang w:val="en"/>
        </w:rPr>
        <w:t>(Dec. 14, 2016)</w:t>
      </w:r>
      <w:r w:rsidR="00D631EE">
        <w:rPr>
          <w:sz w:val="22"/>
          <w:szCs w:val="22"/>
          <w:lang w:val="en"/>
        </w:rPr>
        <w:t>,</w:t>
      </w:r>
      <w:r>
        <w:rPr>
          <w:sz w:val="22"/>
          <w:szCs w:val="22"/>
          <w:lang w:val="en"/>
        </w:rPr>
        <w:t xml:space="preserve"> </w:t>
      </w:r>
      <w:r w:rsidRPr="00C308D8">
        <w:rPr>
          <w:sz w:val="22"/>
          <w:szCs w:val="22"/>
          <w:lang w:val="en"/>
        </w:rPr>
        <w:t>https://www.justice.gov/opa/pr/justice-department-recovers-over-47-</w:t>
      </w:r>
      <w:r w:rsidRPr="000B6439">
        <w:rPr>
          <w:sz w:val="22"/>
          <w:szCs w:val="22"/>
          <w:lang w:val="en"/>
        </w:rPr>
        <w:t>billion-false-claims-act-cases-fiscal-year-2016.</w:t>
      </w:r>
    </w:p>
  </w:footnote>
  <w:footnote w:id="10">
    <w:p w:rsidR="00D631EE" w:rsidRPr="00506441" w:rsidRDefault="00D631EE">
      <w:pPr>
        <w:pStyle w:val="FootnoteText"/>
        <w:rPr>
          <w:i/>
          <w:sz w:val="22"/>
          <w:szCs w:val="22"/>
        </w:rPr>
      </w:pPr>
      <w:r w:rsidRPr="00147D07">
        <w:rPr>
          <w:rStyle w:val="FootnoteReference"/>
          <w:sz w:val="22"/>
          <w:szCs w:val="22"/>
        </w:rPr>
        <w:footnoteRef/>
      </w:r>
      <w:r w:rsidRPr="00147D07">
        <w:rPr>
          <w:sz w:val="22"/>
          <w:szCs w:val="22"/>
        </w:rPr>
        <w:t xml:space="preserve"> U.S.</w:t>
      </w:r>
      <w:r w:rsidRPr="00506441">
        <w:rPr>
          <w:sz w:val="22"/>
          <w:szCs w:val="22"/>
        </w:rPr>
        <w:t xml:space="preserve"> </w:t>
      </w:r>
      <w:r w:rsidRPr="00506441">
        <w:rPr>
          <w:smallCaps/>
          <w:sz w:val="22"/>
          <w:szCs w:val="22"/>
        </w:rPr>
        <w:t xml:space="preserve">Department of Justice, </w:t>
      </w:r>
      <w:r w:rsidRPr="00506441">
        <w:rPr>
          <w:i/>
          <w:sz w:val="22"/>
          <w:szCs w:val="22"/>
        </w:rPr>
        <w:t>Justice Department and Consumer Financial Protection Bureau Pledge to Work Together to Protect Consumers from Credit Discrimination</w:t>
      </w:r>
      <w:r w:rsidRPr="00506441">
        <w:rPr>
          <w:sz w:val="22"/>
          <w:szCs w:val="22"/>
        </w:rPr>
        <w:t xml:space="preserve"> (Dec. 6, 2012), https://www.justice.gov/opa/pr/justice-department-and-consumer-financial-protection-bureau-pledge-work-together-protect.</w:t>
      </w:r>
    </w:p>
  </w:footnote>
  <w:footnote w:id="11">
    <w:p w:rsidR="00585A09" w:rsidRPr="00585A09" w:rsidRDefault="00585A09" w:rsidP="002C3D4A">
      <w:pPr>
        <w:pStyle w:val="FootnoteText"/>
        <w:jc w:val="both"/>
        <w:rPr>
          <w:smallCaps/>
        </w:rPr>
      </w:pPr>
      <w:r w:rsidRPr="00506441">
        <w:rPr>
          <w:rStyle w:val="FootnoteReference"/>
          <w:sz w:val="22"/>
          <w:szCs w:val="22"/>
        </w:rPr>
        <w:footnoteRef/>
      </w:r>
      <w:r w:rsidRPr="00506441">
        <w:rPr>
          <w:sz w:val="22"/>
          <w:szCs w:val="22"/>
        </w:rPr>
        <w:t xml:space="preserve"> Memorandum of Understanding Between the Consumer Financial Protection Bureau and the United States Department of Justice Regarding Fair Lending Coordination (Dec. 6, 2012), </w:t>
      </w:r>
      <w:r w:rsidRPr="00506441">
        <w:rPr>
          <w:i/>
          <w:sz w:val="22"/>
          <w:szCs w:val="22"/>
        </w:rPr>
        <w:t>available at</w:t>
      </w:r>
      <w:r w:rsidRPr="00506441">
        <w:rPr>
          <w:sz w:val="22"/>
          <w:szCs w:val="22"/>
        </w:rPr>
        <w:t xml:space="preserve"> http://files.consumerfinance.gov/f/201212_cfpb_doj-fair-lending-mou.pdf.</w:t>
      </w:r>
    </w:p>
  </w:footnote>
  <w:footnote w:id="12">
    <w:p w:rsidR="00F162DA" w:rsidRPr="00F162DA" w:rsidRDefault="00F162DA" w:rsidP="00F162D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F162DA">
        <w:rPr>
          <w:smallCaps/>
          <w:sz w:val="22"/>
          <w:szCs w:val="22"/>
        </w:rPr>
        <w:t xml:space="preserve">Consumer Financial Protection Bureau, </w:t>
      </w:r>
      <w:r w:rsidRPr="00F162DA">
        <w:rPr>
          <w:i/>
          <w:sz w:val="22"/>
          <w:szCs w:val="22"/>
        </w:rPr>
        <w:t>Consumer Financial Protection Bureau: Enforcing Federal Consumer Protection Law</w:t>
      </w:r>
      <w:r w:rsidRPr="00F162DA">
        <w:rPr>
          <w:sz w:val="22"/>
          <w:szCs w:val="22"/>
        </w:rPr>
        <w:t xml:space="preserve"> (July 2016), </w:t>
      </w:r>
      <w:r w:rsidRPr="00F162DA">
        <w:rPr>
          <w:i/>
          <w:sz w:val="22"/>
          <w:szCs w:val="22"/>
        </w:rPr>
        <w:t xml:space="preserve">available at </w:t>
      </w:r>
      <w:r w:rsidRPr="00F162DA">
        <w:rPr>
          <w:sz w:val="22"/>
          <w:szCs w:val="22"/>
        </w:rPr>
        <w:t>http://files.consumerfinance.gov/f/documents/07132016_cfpb_SEFL_anniversary_factsheet.pdf</w:t>
      </w:r>
      <w:r>
        <w:rPr>
          <w:sz w:val="22"/>
          <w:szCs w:val="22"/>
        </w:rPr>
        <w:t>.</w:t>
      </w:r>
    </w:p>
  </w:footnote>
  <w:footnote w:id="13">
    <w:p w:rsidR="00056A6B" w:rsidRPr="00FF2848" w:rsidRDefault="00056A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E2B5C">
        <w:rPr>
          <w:i/>
        </w:rPr>
        <w:t>E.g.</w:t>
      </w:r>
      <w:r w:rsidR="009E2B5C">
        <w:t xml:space="preserve">, </w:t>
      </w:r>
      <w:r w:rsidR="009E2B5C" w:rsidRPr="00147D07">
        <w:rPr>
          <w:sz w:val="22"/>
          <w:szCs w:val="22"/>
        </w:rPr>
        <w:t>U.S.</w:t>
      </w:r>
      <w:r w:rsidR="009E2B5C" w:rsidRPr="00506441">
        <w:rPr>
          <w:sz w:val="22"/>
          <w:szCs w:val="22"/>
        </w:rPr>
        <w:t xml:space="preserve"> </w:t>
      </w:r>
      <w:r w:rsidR="009E2B5C" w:rsidRPr="00506441">
        <w:rPr>
          <w:smallCaps/>
          <w:sz w:val="22"/>
          <w:szCs w:val="22"/>
        </w:rPr>
        <w:t>Department of Justice</w:t>
      </w:r>
      <w:r w:rsidR="009E2B5C">
        <w:rPr>
          <w:smallCaps/>
          <w:sz w:val="22"/>
          <w:szCs w:val="22"/>
        </w:rPr>
        <w:t xml:space="preserve">, </w:t>
      </w:r>
      <w:r w:rsidR="009E2B5C">
        <w:rPr>
          <w:i/>
          <w:sz w:val="22"/>
          <w:szCs w:val="22"/>
        </w:rPr>
        <w:t>Justice Department and Consumer Financial Protection Bureau Reach $169 Million Settlement to Resolve Allegations of Credit Card Lending Discrimination by GE Capital Retail Bank</w:t>
      </w:r>
      <w:r w:rsidR="009E2B5C">
        <w:rPr>
          <w:sz w:val="22"/>
          <w:szCs w:val="22"/>
        </w:rPr>
        <w:t xml:space="preserve">, (June 19, 2014), </w:t>
      </w:r>
      <w:r w:rsidR="00FF2848" w:rsidRPr="00FF2848">
        <w:rPr>
          <w:sz w:val="22"/>
          <w:szCs w:val="22"/>
        </w:rPr>
        <w:t>https://www.justice.gov/opa/pr/justice-department-and-consumer-financial-protection-bureau-reach-169-million-settlement</w:t>
      </w:r>
      <w:r w:rsidR="00FF2848">
        <w:rPr>
          <w:sz w:val="22"/>
          <w:szCs w:val="22"/>
        </w:rPr>
        <w:t xml:space="preserve">; </w:t>
      </w:r>
      <w:r w:rsidR="00FF2848">
        <w:rPr>
          <w:i/>
          <w:sz w:val="22"/>
          <w:szCs w:val="22"/>
        </w:rPr>
        <w:t>Id.</w:t>
      </w:r>
      <w:r w:rsidR="00FF2848">
        <w:rPr>
          <w:sz w:val="22"/>
          <w:szCs w:val="22"/>
        </w:rPr>
        <w:t xml:space="preserve">, </w:t>
      </w:r>
      <w:r w:rsidR="00FF2848">
        <w:rPr>
          <w:i/>
          <w:sz w:val="22"/>
          <w:szCs w:val="22"/>
        </w:rPr>
        <w:t>Justice Department and Consumer Financial Protection Bureau Reach $98 Million Settlement to Resolve Allegations of Auto Lending Discrimination by Ally</w:t>
      </w:r>
      <w:r w:rsidR="00FF2848">
        <w:rPr>
          <w:sz w:val="22"/>
          <w:szCs w:val="22"/>
        </w:rPr>
        <w:t xml:space="preserve"> (Dec. 20, 2013), </w:t>
      </w:r>
      <w:r w:rsidR="00FF2848" w:rsidRPr="00FF2848">
        <w:rPr>
          <w:sz w:val="22"/>
          <w:szCs w:val="22"/>
        </w:rPr>
        <w:t>https://www.justice.gov/opa/pr/justice-department-and-consumer-financial-protection-bureau-reach-98-million-settlementto</w:t>
      </w:r>
      <w:r w:rsidR="00FF2848">
        <w:rPr>
          <w:sz w:val="22"/>
          <w:szCs w:val="22"/>
        </w:rPr>
        <w:t>.</w:t>
      </w:r>
    </w:p>
  </w:footnote>
  <w:footnote w:id="14">
    <w:p w:rsidR="0019348D" w:rsidRPr="0025229C" w:rsidRDefault="0019348D" w:rsidP="00425347">
      <w:pPr>
        <w:pStyle w:val="FootnoteText"/>
        <w:widowControl w:val="0"/>
        <w:jc w:val="both"/>
        <w:rPr>
          <w:sz w:val="22"/>
          <w:szCs w:val="22"/>
        </w:rPr>
      </w:pPr>
      <w:r w:rsidRPr="000B6439">
        <w:rPr>
          <w:rStyle w:val="FootnoteReference"/>
          <w:sz w:val="22"/>
          <w:szCs w:val="22"/>
        </w:rPr>
        <w:footnoteRef/>
      </w:r>
      <w:r w:rsidRPr="000B6439">
        <w:rPr>
          <w:sz w:val="22"/>
          <w:szCs w:val="22"/>
        </w:rPr>
        <w:t xml:space="preserve"> Matt Apuzzo &amp; Ben Protess, </w:t>
      </w:r>
      <w:r w:rsidRPr="000B6439">
        <w:rPr>
          <w:i/>
          <w:sz w:val="22"/>
          <w:szCs w:val="22"/>
        </w:rPr>
        <w:t>Justice Department Sets Sights on Wall Street Executives</w:t>
      </w:r>
      <w:r w:rsidRPr="000B6439">
        <w:rPr>
          <w:sz w:val="22"/>
          <w:szCs w:val="22"/>
        </w:rPr>
        <w:t xml:space="preserve">, </w:t>
      </w:r>
      <w:r>
        <w:rPr>
          <w:smallCaps/>
          <w:sz w:val="22"/>
          <w:szCs w:val="22"/>
        </w:rPr>
        <w:t xml:space="preserve">N.Y. Times </w:t>
      </w:r>
      <w:r w:rsidRPr="000B6439">
        <w:rPr>
          <w:smallCaps/>
          <w:sz w:val="22"/>
          <w:szCs w:val="22"/>
        </w:rPr>
        <w:t>(S</w:t>
      </w:r>
      <w:r w:rsidRPr="000B6439">
        <w:rPr>
          <w:sz w:val="22"/>
          <w:szCs w:val="22"/>
        </w:rPr>
        <w:t>ept. 9, 2015), https://www.nytimes.com/2015/09/10/us/politics/new-justice-dept-rules-aimed-at-</w:t>
      </w:r>
      <w:r w:rsidRPr="0025229C">
        <w:rPr>
          <w:sz w:val="22"/>
          <w:szCs w:val="22"/>
        </w:rPr>
        <w:t>prosecuting-corporate-executives.html?_r=0.</w:t>
      </w:r>
    </w:p>
  </w:footnote>
  <w:footnote w:id="15">
    <w:p w:rsidR="0019348D" w:rsidRPr="001F55EB" w:rsidRDefault="0019348D" w:rsidP="00425347">
      <w:pPr>
        <w:pStyle w:val="FootnoteText"/>
        <w:jc w:val="both"/>
        <w:rPr>
          <w:sz w:val="22"/>
          <w:szCs w:val="22"/>
        </w:rPr>
      </w:pPr>
      <w:r w:rsidRPr="0025229C">
        <w:rPr>
          <w:rStyle w:val="FootnoteReference"/>
          <w:sz w:val="22"/>
          <w:szCs w:val="22"/>
        </w:rPr>
        <w:footnoteRef/>
      </w:r>
      <w:r w:rsidRPr="0025229C">
        <w:rPr>
          <w:sz w:val="22"/>
          <w:szCs w:val="22"/>
        </w:rPr>
        <w:t xml:space="preserve"> </w:t>
      </w:r>
      <w:r w:rsidRPr="0025229C">
        <w:rPr>
          <w:sz w:val="22"/>
          <w:szCs w:val="22"/>
          <w:lang w:val="en"/>
        </w:rPr>
        <w:t xml:space="preserve">Memorandum from Deputy Att’y Gen. Sally Quillian Yates, Individual Accountability for Corporate </w:t>
      </w:r>
      <w:r w:rsidRPr="001F55EB">
        <w:rPr>
          <w:sz w:val="22"/>
          <w:szCs w:val="22"/>
          <w:lang w:val="en"/>
        </w:rPr>
        <w:t>Wrongdoing (Sept. 9, 2015), available at http://www.justice.gov/dag/file/769036/download.</w:t>
      </w:r>
    </w:p>
  </w:footnote>
  <w:footnote w:id="16">
    <w:p w:rsidR="0019348D" w:rsidRPr="001F55EB" w:rsidRDefault="0019348D" w:rsidP="00425347">
      <w:pPr>
        <w:pStyle w:val="FootnoteText"/>
        <w:jc w:val="both"/>
        <w:rPr>
          <w:sz w:val="22"/>
          <w:szCs w:val="22"/>
        </w:rPr>
      </w:pPr>
      <w:r w:rsidRPr="001F55EB">
        <w:rPr>
          <w:rStyle w:val="FootnoteReference"/>
          <w:sz w:val="22"/>
          <w:szCs w:val="22"/>
        </w:rPr>
        <w:footnoteRef/>
      </w:r>
      <w:r w:rsidRPr="001F55EB">
        <w:rPr>
          <w:sz w:val="22"/>
          <w:szCs w:val="22"/>
        </w:rPr>
        <w:t xml:space="preserve"> </w:t>
      </w:r>
      <w:r w:rsidRPr="001F55EB">
        <w:rPr>
          <w:i/>
          <w:sz w:val="22"/>
          <w:szCs w:val="22"/>
        </w:rPr>
        <w:t>Id.</w:t>
      </w:r>
    </w:p>
  </w:footnote>
  <w:footnote w:id="17">
    <w:p w:rsidR="0019348D" w:rsidRPr="001F55EB" w:rsidRDefault="0019348D" w:rsidP="00425347">
      <w:pPr>
        <w:pStyle w:val="FootnoteText"/>
        <w:jc w:val="both"/>
        <w:rPr>
          <w:i/>
          <w:sz w:val="22"/>
          <w:szCs w:val="22"/>
        </w:rPr>
      </w:pPr>
      <w:r w:rsidRPr="001F55EB">
        <w:rPr>
          <w:rStyle w:val="FootnoteReference"/>
          <w:sz w:val="22"/>
          <w:szCs w:val="22"/>
        </w:rPr>
        <w:footnoteRef/>
      </w:r>
      <w:r w:rsidRPr="001F55EB">
        <w:rPr>
          <w:sz w:val="22"/>
          <w:szCs w:val="22"/>
        </w:rPr>
        <w:t xml:space="preserve"> </w:t>
      </w:r>
      <w:r w:rsidRPr="001F55EB">
        <w:rPr>
          <w:i/>
          <w:sz w:val="22"/>
          <w:szCs w:val="22"/>
        </w:rPr>
        <w:t>Id.</w:t>
      </w:r>
    </w:p>
  </w:footnote>
  <w:footnote w:id="18">
    <w:p w:rsidR="0019348D" w:rsidRPr="001F55EB" w:rsidRDefault="0019348D" w:rsidP="00425347">
      <w:pPr>
        <w:pStyle w:val="FootnoteText"/>
        <w:jc w:val="both"/>
        <w:rPr>
          <w:sz w:val="22"/>
          <w:szCs w:val="22"/>
        </w:rPr>
      </w:pPr>
      <w:r w:rsidRPr="001F55EB">
        <w:rPr>
          <w:rStyle w:val="FootnoteReference"/>
          <w:sz w:val="22"/>
          <w:szCs w:val="22"/>
        </w:rPr>
        <w:footnoteRef/>
      </w:r>
      <w:r w:rsidRPr="001F55EB">
        <w:rPr>
          <w:sz w:val="22"/>
          <w:szCs w:val="22"/>
        </w:rPr>
        <w:t xml:space="preserve"> Rachel K. Paulose, </w:t>
      </w:r>
      <w:r w:rsidRPr="001F55EB">
        <w:rPr>
          <w:i/>
          <w:sz w:val="22"/>
          <w:szCs w:val="22"/>
          <w:lang w:val="en"/>
        </w:rPr>
        <w:t>1 Year After Yates Memo: Measuring Its Impact</w:t>
      </w:r>
      <w:r w:rsidRPr="001F55EB">
        <w:rPr>
          <w:sz w:val="22"/>
          <w:szCs w:val="22"/>
          <w:lang w:val="en"/>
        </w:rPr>
        <w:t xml:space="preserve">, </w:t>
      </w:r>
      <w:r w:rsidRPr="001F55EB">
        <w:rPr>
          <w:smallCaps/>
          <w:sz w:val="22"/>
          <w:szCs w:val="22"/>
          <w:lang w:val="en"/>
        </w:rPr>
        <w:t>LAW360</w:t>
      </w:r>
      <w:r>
        <w:rPr>
          <w:sz w:val="22"/>
          <w:szCs w:val="22"/>
          <w:lang w:val="en"/>
        </w:rPr>
        <w:t xml:space="preserve"> (Oct. 11, 2016), </w:t>
      </w:r>
      <w:r w:rsidRPr="001F55EB">
        <w:rPr>
          <w:sz w:val="22"/>
          <w:szCs w:val="22"/>
          <w:lang w:val="en"/>
        </w:rPr>
        <w:t>https://www.law360.com/articles/838923/1-year-after-yates-memo-measuring-its-impact.</w:t>
      </w:r>
    </w:p>
  </w:footnote>
  <w:footnote w:id="19">
    <w:p w:rsidR="0019348D" w:rsidRPr="001F55EB" w:rsidRDefault="0019348D" w:rsidP="00425347">
      <w:pPr>
        <w:pStyle w:val="FootnoteText"/>
        <w:jc w:val="both"/>
        <w:rPr>
          <w:i/>
          <w:sz w:val="22"/>
          <w:szCs w:val="22"/>
        </w:rPr>
      </w:pPr>
      <w:r w:rsidRPr="001F55EB">
        <w:rPr>
          <w:rStyle w:val="FootnoteReference"/>
          <w:sz w:val="22"/>
          <w:szCs w:val="22"/>
        </w:rPr>
        <w:footnoteRef/>
      </w:r>
      <w:r w:rsidRPr="001F55EB">
        <w:rPr>
          <w:sz w:val="22"/>
          <w:szCs w:val="22"/>
        </w:rPr>
        <w:t xml:space="preserve"> </w:t>
      </w:r>
      <w:r w:rsidRPr="001F55EB">
        <w:rPr>
          <w:i/>
          <w:sz w:val="22"/>
          <w:szCs w:val="22"/>
        </w:rPr>
        <w:t>Id.</w:t>
      </w:r>
    </w:p>
  </w:footnote>
  <w:footnote w:id="20">
    <w:p w:rsidR="0019348D" w:rsidRPr="00C32A8D" w:rsidRDefault="0019348D" w:rsidP="00425347">
      <w:pPr>
        <w:pStyle w:val="FootnoteText"/>
        <w:jc w:val="both"/>
        <w:rPr>
          <w:sz w:val="22"/>
          <w:szCs w:val="22"/>
        </w:rPr>
      </w:pPr>
      <w:r w:rsidRPr="001F55EB">
        <w:rPr>
          <w:rStyle w:val="FootnoteReference"/>
          <w:sz w:val="22"/>
          <w:szCs w:val="22"/>
        </w:rPr>
        <w:footnoteRef/>
      </w:r>
      <w:r w:rsidRPr="001F55EB">
        <w:rPr>
          <w:sz w:val="22"/>
          <w:szCs w:val="22"/>
        </w:rPr>
        <w:t xml:space="preserve"> Brandon K. Essig, </w:t>
      </w:r>
      <w:r w:rsidRPr="001F55EB">
        <w:rPr>
          <w:bCs/>
          <w:i/>
          <w:sz w:val="22"/>
          <w:szCs w:val="22"/>
          <w:lang w:val="en"/>
        </w:rPr>
        <w:t>Yates Memo Thoughts for Compliance Professionals: The Scope of Risk May Be Broader than You Think</w:t>
      </w:r>
      <w:r w:rsidRPr="001F55EB">
        <w:rPr>
          <w:bCs/>
          <w:sz w:val="22"/>
          <w:szCs w:val="22"/>
          <w:lang w:val="en"/>
        </w:rPr>
        <w:t xml:space="preserve">, </w:t>
      </w:r>
      <w:r>
        <w:rPr>
          <w:bCs/>
          <w:smallCaps/>
          <w:sz w:val="22"/>
          <w:szCs w:val="22"/>
          <w:lang w:val="en"/>
        </w:rPr>
        <w:t>LinkedIn, (</w:t>
      </w:r>
      <w:r>
        <w:rPr>
          <w:bCs/>
          <w:sz w:val="22"/>
          <w:szCs w:val="22"/>
          <w:lang w:val="en"/>
        </w:rPr>
        <w:t xml:space="preserve">Mar. 3, 2017) </w:t>
      </w:r>
      <w:r w:rsidRPr="001F55EB">
        <w:rPr>
          <w:bCs/>
          <w:sz w:val="22"/>
          <w:szCs w:val="22"/>
          <w:lang w:val="en"/>
        </w:rPr>
        <w:t>https://www.linkedin.com/pulse/yates-memo-thoughts-compliance-profession</w:t>
      </w:r>
      <w:r w:rsidRPr="00C32A8D">
        <w:rPr>
          <w:bCs/>
          <w:sz w:val="22"/>
          <w:szCs w:val="22"/>
          <w:lang w:val="en"/>
        </w:rPr>
        <w:t>als-scope-risk-brandon-essig.</w:t>
      </w:r>
    </w:p>
  </w:footnote>
  <w:footnote w:id="21">
    <w:p w:rsidR="0019348D" w:rsidRPr="00924653" w:rsidRDefault="0019348D" w:rsidP="00425347">
      <w:pPr>
        <w:pStyle w:val="FootnoteText"/>
        <w:jc w:val="both"/>
        <w:rPr>
          <w:i/>
          <w:sz w:val="22"/>
          <w:szCs w:val="22"/>
        </w:rPr>
      </w:pPr>
      <w:r w:rsidRPr="00C32A8D">
        <w:rPr>
          <w:rStyle w:val="FootnoteReference"/>
          <w:sz w:val="22"/>
          <w:szCs w:val="22"/>
        </w:rPr>
        <w:footnoteRef/>
      </w:r>
      <w:r w:rsidRPr="00C32A8D">
        <w:rPr>
          <w:sz w:val="22"/>
          <w:szCs w:val="22"/>
        </w:rPr>
        <w:t xml:space="preserve"> </w:t>
      </w:r>
      <w:r w:rsidRPr="00C32A8D">
        <w:rPr>
          <w:i/>
          <w:sz w:val="22"/>
          <w:szCs w:val="22"/>
        </w:rPr>
        <w:t xml:space="preserve">See </w:t>
      </w:r>
      <w:r w:rsidRPr="00C32A8D">
        <w:rPr>
          <w:sz w:val="22"/>
          <w:szCs w:val="22"/>
        </w:rPr>
        <w:t xml:space="preserve">15 </w:t>
      </w:r>
      <w:r w:rsidRPr="00924653">
        <w:rPr>
          <w:sz w:val="22"/>
          <w:szCs w:val="22"/>
        </w:rPr>
        <w:t>U.S.C. § 78m.</w:t>
      </w:r>
    </w:p>
  </w:footnote>
  <w:footnote w:id="22">
    <w:p w:rsidR="0019348D" w:rsidRPr="00924653" w:rsidRDefault="0019348D" w:rsidP="00425347">
      <w:pPr>
        <w:pStyle w:val="FootnoteText"/>
        <w:jc w:val="both"/>
        <w:rPr>
          <w:sz w:val="22"/>
          <w:szCs w:val="22"/>
        </w:rPr>
      </w:pPr>
      <w:r w:rsidRPr="00924653">
        <w:rPr>
          <w:rStyle w:val="FootnoteReference"/>
          <w:sz w:val="22"/>
          <w:szCs w:val="22"/>
        </w:rPr>
        <w:footnoteRef/>
      </w:r>
      <w:r w:rsidRPr="00924653">
        <w:rPr>
          <w:sz w:val="22"/>
          <w:szCs w:val="22"/>
        </w:rPr>
        <w:t xml:space="preserve"> 17 C.F.R. § 229.303.</w:t>
      </w:r>
    </w:p>
  </w:footnote>
  <w:footnote w:id="23">
    <w:p w:rsidR="0019348D" w:rsidRPr="00924653" w:rsidRDefault="0019348D" w:rsidP="00425347">
      <w:pPr>
        <w:pStyle w:val="FootnoteText"/>
        <w:jc w:val="both"/>
        <w:rPr>
          <w:sz w:val="22"/>
          <w:szCs w:val="22"/>
        </w:rPr>
      </w:pPr>
      <w:r w:rsidRPr="00924653">
        <w:rPr>
          <w:rStyle w:val="FootnoteReference"/>
          <w:sz w:val="22"/>
          <w:szCs w:val="22"/>
        </w:rPr>
        <w:footnoteRef/>
      </w:r>
      <w:r w:rsidRPr="00924653">
        <w:rPr>
          <w:sz w:val="22"/>
          <w:szCs w:val="22"/>
        </w:rPr>
        <w:t xml:space="preserve"> </w:t>
      </w:r>
      <w:r w:rsidRPr="00924653">
        <w:rPr>
          <w:i/>
          <w:sz w:val="22"/>
          <w:szCs w:val="22"/>
        </w:rPr>
        <w:t>Panther Partners Inc. v. Ikanos Commc’ns, Inc.</w:t>
      </w:r>
      <w:r w:rsidRPr="00924653">
        <w:rPr>
          <w:sz w:val="22"/>
          <w:szCs w:val="22"/>
        </w:rPr>
        <w:t>, 681 F.3d 114, 122 (2d Cir. 2012).</w:t>
      </w:r>
    </w:p>
  </w:footnote>
  <w:footnote w:id="24">
    <w:p w:rsidR="0019348D" w:rsidRPr="00B9295F" w:rsidRDefault="0019348D" w:rsidP="00547ADC">
      <w:pPr>
        <w:pStyle w:val="FootnoteText"/>
        <w:jc w:val="both"/>
        <w:rPr>
          <w:sz w:val="22"/>
          <w:szCs w:val="22"/>
        </w:rPr>
      </w:pPr>
      <w:r w:rsidRPr="00924653">
        <w:rPr>
          <w:rStyle w:val="FootnoteReference"/>
          <w:sz w:val="22"/>
          <w:szCs w:val="22"/>
        </w:rPr>
        <w:footnoteRef/>
      </w:r>
      <w:r w:rsidRPr="00924653">
        <w:rPr>
          <w:sz w:val="22"/>
          <w:szCs w:val="22"/>
        </w:rPr>
        <w:t xml:space="preserve"> 15 U.S.C. § 78u-2.</w:t>
      </w:r>
    </w:p>
  </w:footnote>
  <w:footnote w:id="25">
    <w:p w:rsidR="0019348D" w:rsidRPr="00B154F8" w:rsidRDefault="0019348D" w:rsidP="00547ADC">
      <w:pPr>
        <w:pStyle w:val="FootnoteText"/>
        <w:jc w:val="both"/>
        <w:rPr>
          <w:sz w:val="22"/>
          <w:szCs w:val="22"/>
        </w:rPr>
      </w:pPr>
      <w:r w:rsidRPr="00B154F8">
        <w:rPr>
          <w:rStyle w:val="FootnoteReference"/>
          <w:sz w:val="22"/>
          <w:szCs w:val="22"/>
        </w:rPr>
        <w:footnoteRef/>
      </w:r>
      <w:r w:rsidRPr="00B154F8">
        <w:rPr>
          <w:sz w:val="22"/>
          <w:szCs w:val="22"/>
        </w:rPr>
        <w:t xml:space="preserve"> </w:t>
      </w:r>
      <w:r w:rsidRPr="00B154F8">
        <w:rPr>
          <w:smallCaps/>
          <w:sz w:val="22"/>
          <w:szCs w:val="22"/>
        </w:rPr>
        <w:t>Securities and Exchange Commission</w:t>
      </w:r>
      <w:r w:rsidRPr="00B154F8">
        <w:rPr>
          <w:sz w:val="22"/>
          <w:szCs w:val="22"/>
        </w:rPr>
        <w:t xml:space="preserve">, </w:t>
      </w:r>
      <w:r w:rsidRPr="00B154F8">
        <w:rPr>
          <w:i/>
          <w:sz w:val="22"/>
          <w:szCs w:val="22"/>
        </w:rPr>
        <w:t>SEC Announces Enforcement Results for FY 2016</w:t>
      </w:r>
      <w:r>
        <w:rPr>
          <w:sz w:val="22"/>
          <w:szCs w:val="22"/>
        </w:rPr>
        <w:t xml:space="preserve">, </w:t>
      </w:r>
      <w:r w:rsidRPr="00AF36D2">
        <w:rPr>
          <w:sz w:val="22"/>
          <w:szCs w:val="22"/>
        </w:rPr>
        <w:t>www.sec.gov/news/pressrelease/2016-212.html</w:t>
      </w:r>
      <w:r>
        <w:rPr>
          <w:sz w:val="22"/>
          <w:szCs w:val="22"/>
        </w:rPr>
        <w:t xml:space="preserve"> (last visited Mar. 12, 2017).</w:t>
      </w:r>
    </w:p>
  </w:footnote>
  <w:footnote w:id="26">
    <w:p w:rsidR="0019348D" w:rsidRPr="00B154F8" w:rsidRDefault="0019348D" w:rsidP="00547ADC">
      <w:pPr>
        <w:pStyle w:val="FootnoteText"/>
        <w:jc w:val="both"/>
        <w:rPr>
          <w:i/>
          <w:sz w:val="22"/>
          <w:szCs w:val="22"/>
        </w:rPr>
      </w:pPr>
      <w:r w:rsidRPr="00B154F8">
        <w:rPr>
          <w:rStyle w:val="FootnoteReference"/>
          <w:sz w:val="22"/>
          <w:szCs w:val="22"/>
        </w:rPr>
        <w:footnoteRef/>
      </w:r>
      <w:r w:rsidRPr="00B154F8">
        <w:rPr>
          <w:sz w:val="22"/>
          <w:szCs w:val="22"/>
        </w:rPr>
        <w:t xml:space="preserve"> </w:t>
      </w:r>
      <w:r w:rsidRPr="00B154F8">
        <w:rPr>
          <w:i/>
          <w:sz w:val="22"/>
          <w:szCs w:val="22"/>
        </w:rPr>
        <w:t xml:space="preserve">See </w:t>
      </w:r>
      <w:r w:rsidRPr="00B154F8">
        <w:rPr>
          <w:sz w:val="22"/>
          <w:szCs w:val="22"/>
        </w:rPr>
        <w:t xml:space="preserve">21 U.S.C. § 301 </w:t>
      </w:r>
      <w:r w:rsidRPr="00B154F8">
        <w:rPr>
          <w:i/>
          <w:sz w:val="22"/>
          <w:szCs w:val="22"/>
        </w:rPr>
        <w:t>et seq.</w:t>
      </w:r>
    </w:p>
  </w:footnote>
  <w:footnote w:id="27">
    <w:p w:rsidR="0019348D" w:rsidRPr="00B154F8" w:rsidRDefault="0019348D" w:rsidP="00547ADC">
      <w:pPr>
        <w:pStyle w:val="FootnoteText"/>
        <w:jc w:val="both"/>
        <w:rPr>
          <w:sz w:val="22"/>
          <w:szCs w:val="22"/>
        </w:rPr>
      </w:pPr>
      <w:r w:rsidRPr="00B154F8">
        <w:rPr>
          <w:rStyle w:val="FootnoteReference"/>
          <w:sz w:val="22"/>
          <w:szCs w:val="22"/>
        </w:rPr>
        <w:footnoteRef/>
      </w:r>
      <w:r w:rsidRPr="00B154F8">
        <w:rPr>
          <w:sz w:val="22"/>
          <w:szCs w:val="22"/>
        </w:rPr>
        <w:t xml:space="preserve"> 21 U.S.C. § 355(a).</w:t>
      </w:r>
    </w:p>
  </w:footnote>
  <w:footnote w:id="28">
    <w:p w:rsidR="0019348D" w:rsidRPr="00B154F8" w:rsidRDefault="0019348D" w:rsidP="00547ADC">
      <w:pPr>
        <w:pStyle w:val="FootnoteText"/>
        <w:jc w:val="both"/>
        <w:rPr>
          <w:sz w:val="22"/>
          <w:szCs w:val="22"/>
        </w:rPr>
      </w:pPr>
      <w:r w:rsidRPr="00B154F8">
        <w:rPr>
          <w:rStyle w:val="FootnoteReference"/>
          <w:sz w:val="22"/>
          <w:szCs w:val="22"/>
        </w:rPr>
        <w:footnoteRef/>
      </w:r>
      <w:r w:rsidRPr="00B154F8">
        <w:rPr>
          <w:sz w:val="22"/>
          <w:szCs w:val="22"/>
        </w:rPr>
        <w:t xml:space="preserve"> </w:t>
      </w:r>
      <w:r w:rsidRPr="00B154F8">
        <w:rPr>
          <w:sz w:val="22"/>
          <w:szCs w:val="22"/>
          <w:lang w:val="en"/>
        </w:rPr>
        <w:t>21 C.F.R. § 201.128.</w:t>
      </w:r>
    </w:p>
  </w:footnote>
  <w:footnote w:id="29">
    <w:p w:rsidR="0019348D" w:rsidRPr="00B154F8" w:rsidRDefault="0019348D" w:rsidP="00547ADC">
      <w:pPr>
        <w:pStyle w:val="ListParagraph"/>
        <w:ind w:left="0" w:right="720"/>
        <w:jc w:val="both"/>
        <w:rPr>
          <w:sz w:val="22"/>
          <w:szCs w:val="22"/>
        </w:rPr>
      </w:pPr>
      <w:r w:rsidRPr="00B154F8">
        <w:rPr>
          <w:rStyle w:val="FootnoteReference"/>
          <w:sz w:val="22"/>
          <w:szCs w:val="22"/>
        </w:rPr>
        <w:footnoteRef/>
      </w:r>
      <w:r w:rsidRPr="00B154F8">
        <w:rPr>
          <w:sz w:val="22"/>
          <w:szCs w:val="22"/>
        </w:rPr>
        <w:t xml:space="preserve"> </w:t>
      </w:r>
      <w:r w:rsidRPr="00B154F8">
        <w:rPr>
          <w:i/>
          <w:sz w:val="22"/>
          <w:szCs w:val="22"/>
        </w:rPr>
        <w:t xml:space="preserve">See </w:t>
      </w:r>
      <w:r w:rsidRPr="00B154F8">
        <w:rPr>
          <w:sz w:val="22"/>
          <w:szCs w:val="22"/>
        </w:rPr>
        <w:t>21 U.S.C. §§ 331(d), 355(a), (b), (d); 21 U.S.C. §§ 331(a), 352; 21 U.S.C. § 321(p).</w:t>
      </w:r>
    </w:p>
  </w:footnote>
  <w:footnote w:id="30">
    <w:p w:rsidR="0019348D" w:rsidRPr="00BF170D" w:rsidRDefault="0019348D" w:rsidP="00547ADC">
      <w:pPr>
        <w:pStyle w:val="FootnoteText"/>
        <w:jc w:val="both"/>
      </w:pPr>
      <w:r w:rsidRPr="00B154F8">
        <w:rPr>
          <w:rStyle w:val="FootnoteReference"/>
          <w:sz w:val="22"/>
          <w:szCs w:val="22"/>
        </w:rPr>
        <w:footnoteRef/>
      </w:r>
      <w:r w:rsidRPr="00B154F8">
        <w:rPr>
          <w:sz w:val="22"/>
          <w:szCs w:val="22"/>
        </w:rPr>
        <w:t xml:space="preserve"> As illustration of this, GlaxoSmithKline, LLC was forced to pay $3.1 billion in 2012 </w:t>
      </w:r>
      <w:r w:rsidRPr="00B154F8">
        <w:rPr>
          <w:sz w:val="22"/>
          <w:szCs w:val="22"/>
          <w:lang w:val="en"/>
        </w:rPr>
        <w:t xml:space="preserve">to resolve its criminal and civil liability arising from the company’s “off-label” promotion of certain prescription drugs. </w:t>
      </w:r>
      <w:r w:rsidRPr="00B154F8">
        <w:rPr>
          <w:smallCaps/>
          <w:sz w:val="22"/>
          <w:szCs w:val="22"/>
          <w:lang w:val="en"/>
        </w:rPr>
        <w:t xml:space="preserve">U.S. Department of Justice, </w:t>
      </w:r>
      <w:r w:rsidRPr="00B154F8">
        <w:rPr>
          <w:i/>
          <w:smallCaps/>
          <w:sz w:val="22"/>
          <w:szCs w:val="22"/>
          <w:lang w:val="en"/>
        </w:rPr>
        <w:t>G</w:t>
      </w:r>
      <w:r w:rsidRPr="00B154F8">
        <w:rPr>
          <w:i/>
          <w:sz w:val="22"/>
          <w:szCs w:val="22"/>
          <w:lang w:val="en"/>
        </w:rPr>
        <w:t>laxoSmithKline to Plead Guilty and Pay $3 Billion to Resolve Fraud Allegations and Failure to Support Safety Data</w:t>
      </w:r>
      <w:r w:rsidRPr="00B154F8">
        <w:rPr>
          <w:sz w:val="22"/>
          <w:szCs w:val="22"/>
          <w:lang w:val="en"/>
        </w:rPr>
        <w:t xml:space="preserve">, </w:t>
      </w:r>
      <w:r>
        <w:rPr>
          <w:sz w:val="22"/>
          <w:szCs w:val="22"/>
          <w:lang w:val="en"/>
        </w:rPr>
        <w:t xml:space="preserve">(July 2, 2012) </w:t>
      </w:r>
      <w:r w:rsidRPr="00B154F8">
        <w:rPr>
          <w:i/>
          <w:sz w:val="22"/>
          <w:szCs w:val="22"/>
          <w:lang w:val="en"/>
        </w:rPr>
        <w:t>available at</w:t>
      </w:r>
      <w:r w:rsidRPr="00B154F8">
        <w:rPr>
          <w:sz w:val="22"/>
          <w:szCs w:val="22"/>
          <w:lang w:val="en"/>
        </w:rPr>
        <w:t xml:space="preserve"> https://www.justice.gov/opa/pr/glaxosmithkline-plead-guilty-and-pay-3-billion-resolve-fraud-allegations-and-failure-report.</w:t>
      </w:r>
    </w:p>
  </w:footnote>
  <w:footnote w:id="31">
    <w:p w:rsidR="0019348D" w:rsidRPr="00CE157B" w:rsidRDefault="0019348D" w:rsidP="00547ADC">
      <w:pPr>
        <w:pStyle w:val="FootnoteText"/>
        <w:jc w:val="both"/>
        <w:rPr>
          <w:sz w:val="22"/>
          <w:szCs w:val="22"/>
        </w:rPr>
      </w:pPr>
      <w:r w:rsidRPr="0090631F">
        <w:rPr>
          <w:rStyle w:val="FootnoteReference"/>
          <w:sz w:val="22"/>
          <w:szCs w:val="22"/>
        </w:rPr>
        <w:footnoteRef/>
      </w:r>
      <w:r w:rsidRPr="0090631F">
        <w:rPr>
          <w:sz w:val="22"/>
          <w:szCs w:val="22"/>
        </w:rPr>
        <w:t xml:space="preserve"> Rachel Wolcott, </w:t>
      </w:r>
      <w:r w:rsidRPr="0090631F">
        <w:rPr>
          <w:i/>
          <w:sz w:val="22"/>
          <w:szCs w:val="22"/>
        </w:rPr>
        <w:t>Time to Merge Risk Management and Compliance?</w:t>
      </w:r>
      <w:r w:rsidRPr="0090631F">
        <w:rPr>
          <w:sz w:val="22"/>
          <w:szCs w:val="22"/>
        </w:rPr>
        <w:t xml:space="preserve">, </w:t>
      </w:r>
      <w:r w:rsidRPr="0090631F">
        <w:rPr>
          <w:smallCaps/>
          <w:sz w:val="22"/>
          <w:szCs w:val="22"/>
        </w:rPr>
        <w:t>Reuters (</w:t>
      </w:r>
      <w:r w:rsidRPr="0090631F">
        <w:rPr>
          <w:sz w:val="22"/>
          <w:szCs w:val="22"/>
        </w:rPr>
        <w:t>Apr. 5, 2012), h</w:t>
      </w:r>
      <w:r w:rsidRPr="00CE157B">
        <w:rPr>
          <w:sz w:val="22"/>
          <w:szCs w:val="22"/>
        </w:rPr>
        <w:t>ttp://blogs.reuters.com/financial-regulatory-forum/2012/04/05/time-to-merge-risk-management-and-compliance/.</w:t>
      </w:r>
    </w:p>
  </w:footnote>
  <w:footnote w:id="32">
    <w:p w:rsidR="0019348D" w:rsidRPr="00CE157B" w:rsidRDefault="0019348D" w:rsidP="00547ADC">
      <w:pPr>
        <w:pStyle w:val="FootnoteText"/>
        <w:jc w:val="both"/>
        <w:rPr>
          <w:sz w:val="22"/>
          <w:szCs w:val="22"/>
        </w:rPr>
      </w:pPr>
      <w:r w:rsidRPr="00CE157B">
        <w:rPr>
          <w:rStyle w:val="FootnoteReference"/>
          <w:sz w:val="22"/>
          <w:szCs w:val="22"/>
        </w:rPr>
        <w:footnoteRef/>
      </w:r>
      <w:r w:rsidRPr="00CE157B">
        <w:rPr>
          <w:sz w:val="22"/>
          <w:szCs w:val="22"/>
        </w:rPr>
        <w:t xml:space="preserve"> </w:t>
      </w:r>
      <w:r w:rsidRPr="00CE157B">
        <w:rPr>
          <w:i/>
          <w:sz w:val="22"/>
          <w:szCs w:val="22"/>
        </w:rPr>
        <w:t>A Chief Compliance Officer’s Role in Risk Management</w:t>
      </w:r>
      <w:r w:rsidRPr="00CE157B">
        <w:rPr>
          <w:sz w:val="22"/>
          <w:szCs w:val="22"/>
        </w:rPr>
        <w:t xml:space="preserve">, </w:t>
      </w:r>
      <w:r w:rsidRPr="00CE157B">
        <w:rPr>
          <w:smallCaps/>
          <w:sz w:val="22"/>
          <w:szCs w:val="22"/>
        </w:rPr>
        <w:t>Enterprise Risk Management Institute</w:t>
      </w:r>
      <w:r w:rsidRPr="00CE157B">
        <w:rPr>
          <w:sz w:val="22"/>
          <w:szCs w:val="22"/>
        </w:rPr>
        <w:t xml:space="preserve"> (Oct. 26, 2015), https://erm.ncsu.edu/library/article/chief-compliance-officer-risk-management.</w:t>
      </w:r>
    </w:p>
  </w:footnote>
  <w:footnote w:id="33">
    <w:p w:rsidR="0019348D" w:rsidRPr="0069403B" w:rsidRDefault="0019348D" w:rsidP="00547ADC">
      <w:pPr>
        <w:pStyle w:val="FootnoteText"/>
        <w:jc w:val="both"/>
        <w:rPr>
          <w:sz w:val="22"/>
          <w:szCs w:val="22"/>
        </w:rPr>
      </w:pPr>
      <w:r w:rsidRPr="00CE157B">
        <w:rPr>
          <w:rStyle w:val="FootnoteReference"/>
          <w:sz w:val="22"/>
          <w:szCs w:val="22"/>
        </w:rPr>
        <w:footnoteRef/>
      </w:r>
      <w:r w:rsidRPr="00CE157B">
        <w:rPr>
          <w:sz w:val="22"/>
          <w:szCs w:val="22"/>
        </w:rPr>
        <w:t xml:space="preserve"> </w:t>
      </w:r>
      <w:r w:rsidRPr="00CE157B">
        <w:rPr>
          <w:i/>
          <w:sz w:val="22"/>
          <w:szCs w:val="22"/>
        </w:rPr>
        <w:t>See, e.g.</w:t>
      </w:r>
      <w:r w:rsidRPr="00CE157B">
        <w:rPr>
          <w:sz w:val="22"/>
          <w:szCs w:val="22"/>
        </w:rPr>
        <w:t xml:space="preserve">, </w:t>
      </w:r>
      <w:r w:rsidR="00D631EE">
        <w:rPr>
          <w:sz w:val="22"/>
          <w:szCs w:val="22"/>
        </w:rPr>
        <w:t xml:space="preserve">U.S. </w:t>
      </w:r>
      <w:r w:rsidRPr="00CE157B">
        <w:rPr>
          <w:smallCaps/>
          <w:sz w:val="22"/>
          <w:szCs w:val="22"/>
        </w:rPr>
        <w:t>Department of Justice</w:t>
      </w:r>
      <w:r w:rsidRPr="00CE157B">
        <w:rPr>
          <w:sz w:val="22"/>
          <w:szCs w:val="22"/>
        </w:rPr>
        <w:t xml:space="preserve">, </w:t>
      </w:r>
      <w:r w:rsidRPr="00CE157B">
        <w:rPr>
          <w:i/>
          <w:sz w:val="22"/>
          <w:szCs w:val="22"/>
        </w:rPr>
        <w:t>Bank of America Corporation Statement of Facts</w:t>
      </w:r>
      <w:r w:rsidRPr="00CE157B">
        <w:rPr>
          <w:sz w:val="22"/>
          <w:szCs w:val="22"/>
        </w:rPr>
        <w:t xml:space="preserve">, </w:t>
      </w:r>
      <w:r w:rsidRPr="00CE157B">
        <w:rPr>
          <w:i/>
          <w:sz w:val="22"/>
          <w:szCs w:val="22"/>
        </w:rPr>
        <w:t>available at</w:t>
      </w:r>
      <w:r w:rsidRPr="00CE157B">
        <w:rPr>
          <w:sz w:val="22"/>
          <w:szCs w:val="22"/>
        </w:rPr>
        <w:t xml:space="preserve"> http</w:t>
      </w:r>
      <w:r w:rsidRPr="0069403B">
        <w:rPr>
          <w:sz w:val="22"/>
          <w:szCs w:val="22"/>
        </w:rPr>
        <w:t>s://www.justice.gov/iso/opa/resources/4312014829141220799708.pdf.</w:t>
      </w:r>
    </w:p>
  </w:footnote>
  <w:footnote w:id="34">
    <w:p w:rsidR="0019348D" w:rsidRPr="007809D8" w:rsidRDefault="0019348D" w:rsidP="00547ADC">
      <w:pPr>
        <w:pStyle w:val="FootnoteText"/>
        <w:jc w:val="both"/>
        <w:rPr>
          <w:sz w:val="22"/>
          <w:szCs w:val="22"/>
        </w:rPr>
      </w:pPr>
      <w:r w:rsidRPr="007809D8">
        <w:rPr>
          <w:rStyle w:val="FootnoteReference"/>
          <w:sz w:val="22"/>
          <w:szCs w:val="22"/>
        </w:rPr>
        <w:footnoteRef/>
      </w:r>
      <w:r w:rsidRPr="007809D8">
        <w:rPr>
          <w:sz w:val="22"/>
          <w:szCs w:val="22"/>
        </w:rPr>
        <w:t xml:space="preserve"> </w:t>
      </w:r>
      <w:r w:rsidRPr="007809D8">
        <w:rPr>
          <w:i/>
          <w:sz w:val="22"/>
          <w:szCs w:val="22"/>
        </w:rPr>
        <w:t>See id.</w:t>
      </w:r>
      <w:r w:rsidRPr="007809D8">
        <w:rPr>
          <w:sz w:val="22"/>
          <w:szCs w:val="22"/>
        </w:rPr>
        <w:t xml:space="preserve"> at Merrill Lynch – RMBS (pp. 2 – 6).</w:t>
      </w:r>
    </w:p>
  </w:footnote>
  <w:footnote w:id="35">
    <w:p w:rsidR="0019348D" w:rsidRPr="0071463D" w:rsidRDefault="0019348D" w:rsidP="00547ADC">
      <w:pPr>
        <w:pStyle w:val="FootnoteText"/>
        <w:jc w:val="both"/>
        <w:rPr>
          <w:sz w:val="22"/>
          <w:szCs w:val="22"/>
        </w:rPr>
      </w:pPr>
      <w:r w:rsidRPr="0071463D">
        <w:rPr>
          <w:rStyle w:val="FootnoteReference"/>
          <w:sz w:val="22"/>
          <w:szCs w:val="22"/>
        </w:rPr>
        <w:footnoteRef/>
      </w:r>
      <w:r w:rsidRPr="0071463D">
        <w:rPr>
          <w:sz w:val="22"/>
          <w:szCs w:val="22"/>
        </w:rPr>
        <w:t xml:space="preserve"> </w:t>
      </w:r>
      <w:r w:rsidRPr="0071463D">
        <w:rPr>
          <w:i/>
          <w:sz w:val="22"/>
          <w:szCs w:val="22"/>
        </w:rPr>
        <w:t>Id.</w:t>
      </w:r>
      <w:r w:rsidRPr="0071463D">
        <w:rPr>
          <w:sz w:val="22"/>
          <w:szCs w:val="22"/>
        </w:rPr>
        <w:t xml:space="preserve"> at 5.</w:t>
      </w:r>
    </w:p>
  </w:footnote>
  <w:footnote w:id="36">
    <w:p w:rsidR="0019348D" w:rsidRPr="0071463D" w:rsidRDefault="0019348D" w:rsidP="00547ADC">
      <w:pPr>
        <w:pStyle w:val="FootnoteText"/>
        <w:jc w:val="both"/>
        <w:rPr>
          <w:sz w:val="22"/>
          <w:szCs w:val="22"/>
        </w:rPr>
      </w:pPr>
      <w:r w:rsidRPr="0071463D">
        <w:rPr>
          <w:rStyle w:val="FootnoteReference"/>
          <w:sz w:val="22"/>
          <w:szCs w:val="22"/>
        </w:rPr>
        <w:footnoteRef/>
      </w:r>
      <w:r w:rsidRPr="0071463D">
        <w:rPr>
          <w:sz w:val="22"/>
          <w:szCs w:val="22"/>
        </w:rPr>
        <w:t xml:space="preserve"> </w:t>
      </w:r>
      <w:r w:rsidR="00D631EE">
        <w:rPr>
          <w:sz w:val="22"/>
          <w:szCs w:val="22"/>
        </w:rPr>
        <w:t xml:space="preserve">U.S. </w:t>
      </w:r>
      <w:r w:rsidRPr="0071463D">
        <w:rPr>
          <w:smallCaps/>
          <w:sz w:val="22"/>
          <w:szCs w:val="22"/>
        </w:rPr>
        <w:t xml:space="preserve">Department of Justice, </w:t>
      </w:r>
      <w:r w:rsidRPr="0071463D">
        <w:rPr>
          <w:i/>
          <w:sz w:val="22"/>
          <w:szCs w:val="22"/>
        </w:rPr>
        <w:t>JPMorgan Statement of Facts</w:t>
      </w:r>
      <w:r w:rsidRPr="0071463D">
        <w:rPr>
          <w:sz w:val="22"/>
          <w:szCs w:val="22"/>
        </w:rPr>
        <w:t xml:space="preserve">, </w:t>
      </w:r>
      <w:r w:rsidRPr="0071463D">
        <w:rPr>
          <w:i/>
          <w:sz w:val="22"/>
          <w:szCs w:val="22"/>
        </w:rPr>
        <w:t>Annex 1 to JPMorgan Settlement Agreement</w:t>
      </w:r>
      <w:r w:rsidRPr="0071463D">
        <w:rPr>
          <w:sz w:val="22"/>
          <w:szCs w:val="22"/>
        </w:rPr>
        <w:t xml:space="preserve">, </w:t>
      </w:r>
      <w:r w:rsidRPr="0071463D">
        <w:rPr>
          <w:i/>
          <w:sz w:val="22"/>
          <w:szCs w:val="22"/>
        </w:rPr>
        <w:t xml:space="preserve">available at </w:t>
      </w:r>
      <w:r w:rsidRPr="0071463D">
        <w:rPr>
          <w:sz w:val="22"/>
          <w:szCs w:val="22"/>
        </w:rPr>
        <w:t>https://www.justice.gov/opa/pr/justice-department-federal-and-state-partners-secure-record-13-billion-global-settlement.</w:t>
      </w:r>
    </w:p>
  </w:footnote>
  <w:footnote w:id="37">
    <w:p w:rsidR="0019348D" w:rsidRPr="0071463D" w:rsidRDefault="0019348D" w:rsidP="00547ADC">
      <w:pPr>
        <w:pStyle w:val="FootnoteText"/>
        <w:jc w:val="both"/>
        <w:rPr>
          <w:sz w:val="22"/>
          <w:szCs w:val="22"/>
        </w:rPr>
      </w:pPr>
      <w:r w:rsidRPr="0071463D">
        <w:rPr>
          <w:rStyle w:val="FootnoteReference"/>
          <w:sz w:val="22"/>
          <w:szCs w:val="22"/>
        </w:rPr>
        <w:footnoteRef/>
      </w:r>
      <w:r w:rsidRPr="0071463D">
        <w:rPr>
          <w:sz w:val="22"/>
          <w:szCs w:val="22"/>
        </w:rPr>
        <w:t xml:space="preserve"> </w:t>
      </w:r>
      <w:r w:rsidR="00D631EE">
        <w:rPr>
          <w:sz w:val="22"/>
          <w:szCs w:val="22"/>
        </w:rPr>
        <w:t xml:space="preserve">U.S. </w:t>
      </w:r>
      <w:r w:rsidRPr="0071463D">
        <w:rPr>
          <w:smallCaps/>
          <w:sz w:val="22"/>
          <w:szCs w:val="22"/>
        </w:rPr>
        <w:t xml:space="preserve">Department of Justice, </w:t>
      </w:r>
      <w:r w:rsidRPr="0071463D">
        <w:rPr>
          <w:i/>
          <w:sz w:val="22"/>
          <w:szCs w:val="22"/>
        </w:rPr>
        <w:t>Toyota Statement of Facts</w:t>
      </w:r>
      <w:r w:rsidRPr="0071463D">
        <w:rPr>
          <w:sz w:val="22"/>
          <w:szCs w:val="22"/>
        </w:rPr>
        <w:t xml:space="preserve">, </w:t>
      </w:r>
      <w:r w:rsidRPr="0071463D">
        <w:rPr>
          <w:i/>
          <w:sz w:val="22"/>
          <w:szCs w:val="22"/>
        </w:rPr>
        <w:t xml:space="preserve">available at </w:t>
      </w:r>
      <w:r w:rsidRPr="0071463D">
        <w:rPr>
          <w:sz w:val="22"/>
          <w:szCs w:val="22"/>
        </w:rPr>
        <w:t>https://www.justice.gov/opa/pr/justice-department-announces-criminal-charge-against-toyota-motor-corporation-and-deferred.</w:t>
      </w:r>
    </w:p>
  </w:footnote>
  <w:footnote w:id="38">
    <w:p w:rsidR="0019348D" w:rsidRPr="0071463D" w:rsidRDefault="0019348D" w:rsidP="00547ADC">
      <w:pPr>
        <w:pStyle w:val="FootnoteText"/>
        <w:jc w:val="both"/>
        <w:rPr>
          <w:i/>
          <w:sz w:val="22"/>
          <w:szCs w:val="22"/>
        </w:rPr>
      </w:pPr>
      <w:r w:rsidRPr="0071463D">
        <w:rPr>
          <w:rStyle w:val="FootnoteReference"/>
          <w:sz w:val="22"/>
          <w:szCs w:val="22"/>
        </w:rPr>
        <w:footnoteRef/>
      </w:r>
      <w:r w:rsidRPr="0071463D">
        <w:rPr>
          <w:sz w:val="22"/>
          <w:szCs w:val="22"/>
        </w:rPr>
        <w:t xml:space="preserve"> </w:t>
      </w:r>
      <w:r w:rsidRPr="0071463D">
        <w:rPr>
          <w:i/>
          <w:sz w:val="22"/>
          <w:szCs w:val="22"/>
        </w:rPr>
        <w:t>Id.</w:t>
      </w:r>
    </w:p>
  </w:footnote>
  <w:footnote w:id="39">
    <w:p w:rsidR="0019348D" w:rsidRPr="0071463D" w:rsidRDefault="0019348D" w:rsidP="00547ADC">
      <w:pPr>
        <w:pStyle w:val="FootnoteText"/>
        <w:jc w:val="both"/>
        <w:rPr>
          <w:sz w:val="22"/>
          <w:szCs w:val="22"/>
        </w:rPr>
      </w:pPr>
      <w:r w:rsidRPr="0071463D">
        <w:rPr>
          <w:rStyle w:val="FootnoteReference"/>
          <w:sz w:val="22"/>
          <w:szCs w:val="22"/>
        </w:rPr>
        <w:footnoteRef/>
      </w:r>
      <w:r w:rsidRPr="0071463D">
        <w:rPr>
          <w:sz w:val="22"/>
          <w:szCs w:val="22"/>
        </w:rPr>
        <w:t xml:space="preserve"> </w:t>
      </w:r>
      <w:r w:rsidRPr="0071463D">
        <w:rPr>
          <w:i/>
          <w:sz w:val="22"/>
          <w:szCs w:val="22"/>
        </w:rPr>
        <w:t>See, e.g.</w:t>
      </w:r>
      <w:r w:rsidRPr="0071463D">
        <w:rPr>
          <w:sz w:val="22"/>
          <w:szCs w:val="22"/>
        </w:rPr>
        <w:t xml:space="preserve">, </w:t>
      </w:r>
      <w:r w:rsidRPr="0071463D">
        <w:rPr>
          <w:i/>
          <w:sz w:val="22"/>
          <w:szCs w:val="22"/>
        </w:rPr>
        <w:t>United States ex. rel. Greg Thorpe, et al. v. GlaxoSmithKline, PLC and GlaxoSmithKline, LLC</w:t>
      </w:r>
      <w:r w:rsidRPr="0071463D">
        <w:rPr>
          <w:sz w:val="22"/>
          <w:szCs w:val="22"/>
        </w:rPr>
        <w:t xml:space="preserve">, Case No. 11-10398-RWZ, United States’ Complaint (D. Mass., Oct. 26, 2011), </w:t>
      </w:r>
      <w:r w:rsidRPr="0071463D">
        <w:rPr>
          <w:i/>
          <w:sz w:val="22"/>
          <w:szCs w:val="22"/>
        </w:rPr>
        <w:t>available at</w:t>
      </w:r>
      <w:r w:rsidRPr="0071463D">
        <w:rPr>
          <w:sz w:val="22"/>
          <w:szCs w:val="22"/>
        </w:rPr>
        <w:t xml:space="preserve"> https://www.justice.gov/sites/default/files/opa/legacy/2012/07/02/us-complaint.pdf.</w:t>
      </w:r>
    </w:p>
  </w:footnote>
  <w:footnote w:id="40">
    <w:p w:rsidR="0019348D" w:rsidRPr="0071463D" w:rsidRDefault="0019348D" w:rsidP="00547ADC">
      <w:pPr>
        <w:pStyle w:val="FootnoteText"/>
        <w:jc w:val="both"/>
        <w:rPr>
          <w:sz w:val="22"/>
          <w:szCs w:val="22"/>
        </w:rPr>
      </w:pPr>
      <w:r w:rsidRPr="0071463D">
        <w:rPr>
          <w:rStyle w:val="FootnoteReference"/>
          <w:sz w:val="22"/>
          <w:szCs w:val="22"/>
        </w:rPr>
        <w:footnoteRef/>
      </w:r>
      <w:r w:rsidRPr="0071463D">
        <w:rPr>
          <w:sz w:val="22"/>
          <w:szCs w:val="22"/>
        </w:rPr>
        <w:t xml:space="preserve"> </w:t>
      </w:r>
      <w:r w:rsidRPr="0071463D">
        <w:rPr>
          <w:i/>
          <w:sz w:val="22"/>
          <w:szCs w:val="22"/>
        </w:rPr>
        <w:t>Id.</w:t>
      </w:r>
      <w:r w:rsidRPr="0071463D">
        <w:rPr>
          <w:sz w:val="22"/>
          <w:szCs w:val="22"/>
        </w:rPr>
        <w:t xml:space="preserve"> at 6.</w:t>
      </w:r>
    </w:p>
  </w:footnote>
  <w:footnote w:id="41">
    <w:p w:rsidR="0019348D" w:rsidRPr="0071463D" w:rsidRDefault="0019348D" w:rsidP="00547ADC">
      <w:pPr>
        <w:pStyle w:val="FootnoteText"/>
        <w:jc w:val="both"/>
        <w:rPr>
          <w:i/>
          <w:sz w:val="22"/>
          <w:szCs w:val="22"/>
        </w:rPr>
      </w:pPr>
      <w:r w:rsidRPr="0071463D">
        <w:rPr>
          <w:rStyle w:val="FootnoteReference"/>
          <w:sz w:val="22"/>
          <w:szCs w:val="22"/>
        </w:rPr>
        <w:footnoteRef/>
      </w:r>
      <w:r w:rsidRPr="0071463D">
        <w:rPr>
          <w:sz w:val="22"/>
          <w:szCs w:val="22"/>
        </w:rPr>
        <w:t xml:space="preserve"> </w:t>
      </w:r>
      <w:r w:rsidRPr="0071463D">
        <w:rPr>
          <w:i/>
          <w:sz w:val="22"/>
          <w:szCs w:val="22"/>
        </w:rPr>
        <w:t>Id.</w:t>
      </w:r>
    </w:p>
  </w:footnote>
  <w:footnote w:id="42">
    <w:p w:rsidR="0019348D" w:rsidRPr="0071463D" w:rsidRDefault="0019348D" w:rsidP="00547ADC">
      <w:pPr>
        <w:pStyle w:val="FootnoteText"/>
        <w:jc w:val="both"/>
        <w:rPr>
          <w:sz w:val="22"/>
          <w:szCs w:val="22"/>
        </w:rPr>
      </w:pPr>
      <w:r w:rsidRPr="0071463D">
        <w:rPr>
          <w:rStyle w:val="FootnoteReference"/>
          <w:sz w:val="22"/>
          <w:szCs w:val="22"/>
        </w:rPr>
        <w:footnoteRef/>
      </w:r>
      <w:r w:rsidRPr="0071463D">
        <w:rPr>
          <w:sz w:val="22"/>
          <w:szCs w:val="22"/>
        </w:rPr>
        <w:t xml:space="preserve"> </w:t>
      </w:r>
      <w:r w:rsidRPr="0071463D">
        <w:rPr>
          <w:i/>
          <w:sz w:val="22"/>
          <w:szCs w:val="22"/>
        </w:rPr>
        <w:t>Id.</w:t>
      </w:r>
      <w:r w:rsidRPr="0071463D">
        <w:rPr>
          <w:sz w:val="22"/>
          <w:szCs w:val="22"/>
        </w:rPr>
        <w:t>at 7.</w:t>
      </w:r>
    </w:p>
  </w:footnote>
  <w:footnote w:id="43">
    <w:p w:rsidR="0019348D" w:rsidRDefault="0019348D" w:rsidP="00547ADC">
      <w:pPr>
        <w:pStyle w:val="FootnoteText"/>
        <w:jc w:val="both"/>
      </w:pPr>
      <w:r w:rsidRPr="0071463D">
        <w:rPr>
          <w:rStyle w:val="FootnoteReference"/>
          <w:sz w:val="22"/>
          <w:szCs w:val="22"/>
        </w:rPr>
        <w:footnoteRef/>
      </w:r>
      <w:r w:rsidRPr="0071463D">
        <w:rPr>
          <w:sz w:val="22"/>
          <w:szCs w:val="22"/>
        </w:rPr>
        <w:t xml:space="preserve"> 17 C.F.R. § 229.303.</w:t>
      </w:r>
    </w:p>
  </w:footnote>
  <w:footnote w:id="44">
    <w:p w:rsidR="0019348D" w:rsidRPr="00EC5331" w:rsidRDefault="0019348D" w:rsidP="00547ADC">
      <w:pPr>
        <w:pStyle w:val="FootnoteText"/>
        <w:jc w:val="both"/>
        <w:rPr>
          <w:bCs/>
          <w:sz w:val="22"/>
          <w:szCs w:val="22"/>
        </w:rPr>
      </w:pPr>
      <w:r w:rsidRPr="0055588E">
        <w:rPr>
          <w:rStyle w:val="FootnoteReference"/>
          <w:sz w:val="22"/>
          <w:szCs w:val="22"/>
        </w:rPr>
        <w:footnoteRef/>
      </w:r>
      <w:r w:rsidRPr="00E52EBD">
        <w:rPr>
          <w:sz w:val="22"/>
          <w:szCs w:val="22"/>
        </w:rPr>
        <w:t xml:space="preserve"> </w:t>
      </w:r>
      <w:r w:rsidRPr="00E52EBD">
        <w:rPr>
          <w:i/>
          <w:sz w:val="22"/>
          <w:szCs w:val="22"/>
        </w:rPr>
        <w:t>See, e.g.</w:t>
      </w:r>
      <w:r w:rsidRPr="00E52EBD">
        <w:rPr>
          <w:sz w:val="22"/>
          <w:szCs w:val="22"/>
        </w:rPr>
        <w:t xml:space="preserve">, </w:t>
      </w:r>
      <w:r w:rsidRPr="00E52EBD">
        <w:rPr>
          <w:smallCaps/>
          <w:sz w:val="22"/>
          <w:szCs w:val="22"/>
        </w:rPr>
        <w:t xml:space="preserve">Securities and Exchange Commission, </w:t>
      </w:r>
      <w:r w:rsidRPr="00E52EBD">
        <w:rPr>
          <w:i/>
          <w:sz w:val="22"/>
          <w:szCs w:val="22"/>
        </w:rPr>
        <w:t>In the Matter of Bank of America Corporation</w:t>
      </w:r>
      <w:r w:rsidRPr="00E52EBD">
        <w:rPr>
          <w:sz w:val="22"/>
          <w:szCs w:val="22"/>
        </w:rPr>
        <w:t>,</w:t>
      </w:r>
      <w:r w:rsidRPr="00E52EBD">
        <w:rPr>
          <w:b/>
          <w:bCs/>
          <w:sz w:val="22"/>
          <w:szCs w:val="22"/>
        </w:rPr>
        <w:t xml:space="preserve"> </w:t>
      </w:r>
      <w:r w:rsidRPr="00E52EBD">
        <w:rPr>
          <w:bCs/>
          <w:sz w:val="22"/>
          <w:szCs w:val="22"/>
        </w:rPr>
        <w:t xml:space="preserve">Order Instituting Cease-And-Desist Proceedings Pursuant to Section 21c of the Securities Exchange Act of 1934, Making </w:t>
      </w:r>
      <w:r w:rsidRPr="00EC5331">
        <w:rPr>
          <w:bCs/>
          <w:sz w:val="22"/>
          <w:szCs w:val="22"/>
        </w:rPr>
        <w:t>Findings, and Imposing Cease-And-Desist Order and Civil Penalty,</w:t>
      </w:r>
      <w:r w:rsidRPr="00EC5331">
        <w:rPr>
          <w:sz w:val="22"/>
          <w:szCs w:val="22"/>
        </w:rPr>
        <w:t xml:space="preserve"> </w:t>
      </w:r>
      <w:r w:rsidRPr="00EC5331">
        <w:rPr>
          <w:i/>
          <w:sz w:val="22"/>
          <w:szCs w:val="22"/>
        </w:rPr>
        <w:t>available at</w:t>
      </w:r>
      <w:r w:rsidRPr="00EC5331">
        <w:rPr>
          <w:sz w:val="22"/>
          <w:szCs w:val="22"/>
        </w:rPr>
        <w:t xml:space="preserve"> https://www.justice.gov/iso/opa/resources/4792014829141540824781.pdf.</w:t>
      </w:r>
    </w:p>
  </w:footnote>
  <w:footnote w:id="45">
    <w:p w:rsidR="0019348D" w:rsidRPr="00EC5331" w:rsidRDefault="0019348D" w:rsidP="00547ADC">
      <w:pPr>
        <w:pStyle w:val="FootnoteText"/>
        <w:jc w:val="both"/>
        <w:rPr>
          <w:i/>
          <w:sz w:val="22"/>
          <w:szCs w:val="22"/>
        </w:rPr>
      </w:pPr>
      <w:r w:rsidRPr="00EC5331">
        <w:rPr>
          <w:rStyle w:val="FootnoteReference"/>
          <w:sz w:val="22"/>
          <w:szCs w:val="22"/>
        </w:rPr>
        <w:footnoteRef/>
      </w:r>
      <w:r w:rsidRPr="00EC5331">
        <w:rPr>
          <w:sz w:val="22"/>
          <w:szCs w:val="22"/>
        </w:rPr>
        <w:t xml:space="preserve"> </w:t>
      </w:r>
      <w:r w:rsidRPr="00EC5331">
        <w:rPr>
          <w:i/>
          <w:sz w:val="22"/>
          <w:szCs w:val="22"/>
        </w:rPr>
        <w:t>See id.</w:t>
      </w:r>
    </w:p>
  </w:footnote>
  <w:footnote w:id="46">
    <w:p w:rsidR="0019348D" w:rsidRPr="00EC5331" w:rsidRDefault="0019348D" w:rsidP="00547ADC">
      <w:pPr>
        <w:pStyle w:val="FootnoteText"/>
        <w:jc w:val="both"/>
        <w:rPr>
          <w:i/>
          <w:sz w:val="22"/>
          <w:szCs w:val="22"/>
        </w:rPr>
      </w:pPr>
      <w:r w:rsidRPr="00EC5331">
        <w:rPr>
          <w:rStyle w:val="FootnoteReference"/>
          <w:sz w:val="22"/>
          <w:szCs w:val="22"/>
        </w:rPr>
        <w:footnoteRef/>
      </w:r>
      <w:r w:rsidRPr="00EC5331">
        <w:rPr>
          <w:sz w:val="22"/>
          <w:szCs w:val="22"/>
        </w:rPr>
        <w:t xml:space="preserve"> </w:t>
      </w:r>
      <w:r w:rsidRPr="00EC5331">
        <w:rPr>
          <w:i/>
          <w:sz w:val="22"/>
          <w:szCs w:val="22"/>
        </w:rPr>
        <w:t>See id.</w:t>
      </w:r>
    </w:p>
  </w:footnote>
  <w:footnote w:id="47">
    <w:p w:rsidR="00B86589" w:rsidRPr="00B86589" w:rsidRDefault="00B86589" w:rsidP="00547ADC">
      <w:pPr>
        <w:pStyle w:val="FootnoteText"/>
        <w:jc w:val="both"/>
      </w:pPr>
      <w:r w:rsidRPr="00EC5331">
        <w:rPr>
          <w:rStyle w:val="FootnoteReference"/>
          <w:sz w:val="22"/>
          <w:szCs w:val="22"/>
        </w:rPr>
        <w:footnoteRef/>
      </w:r>
      <w:r w:rsidRPr="00EC5331">
        <w:rPr>
          <w:sz w:val="22"/>
          <w:szCs w:val="22"/>
        </w:rPr>
        <w:t xml:space="preserve"> </w:t>
      </w:r>
      <w:r w:rsidR="00565C1C" w:rsidRPr="00EC5331">
        <w:rPr>
          <w:sz w:val="22"/>
          <w:szCs w:val="22"/>
        </w:rPr>
        <w:t xml:space="preserve">Merrill Lynch – RMBS, supra </w:t>
      </w:r>
      <w:r w:rsidRPr="00EC5331">
        <w:rPr>
          <w:sz w:val="22"/>
          <w:szCs w:val="22"/>
        </w:rPr>
        <w:t>note 30</w:t>
      </w:r>
      <w:r w:rsidR="00565C1C" w:rsidRPr="00EC5331">
        <w:rPr>
          <w:sz w:val="22"/>
          <w:szCs w:val="22"/>
        </w:rPr>
        <w:t>, at 3</w:t>
      </w:r>
      <w:r w:rsidRPr="00EC5331">
        <w:rPr>
          <w:sz w:val="22"/>
          <w:szCs w:val="22"/>
        </w:rPr>
        <w:t>.</w:t>
      </w:r>
    </w:p>
  </w:footnote>
  <w:footnote w:id="48">
    <w:p w:rsidR="00EC5331" w:rsidRPr="005F6460" w:rsidRDefault="00EC5331" w:rsidP="005F6460">
      <w:pPr>
        <w:pStyle w:val="FootnoteText"/>
        <w:jc w:val="both"/>
        <w:rPr>
          <w:sz w:val="22"/>
          <w:szCs w:val="22"/>
        </w:rPr>
      </w:pPr>
      <w:r w:rsidRPr="005F6460">
        <w:rPr>
          <w:rStyle w:val="FootnoteReference"/>
          <w:sz w:val="22"/>
          <w:szCs w:val="22"/>
        </w:rPr>
        <w:footnoteRef/>
      </w:r>
      <w:r w:rsidR="004A5190">
        <w:rPr>
          <w:smallCaps/>
          <w:sz w:val="22"/>
          <w:szCs w:val="22"/>
        </w:rPr>
        <w:t xml:space="preserve"> </w:t>
      </w:r>
      <w:r w:rsidR="00D631EE">
        <w:rPr>
          <w:smallCaps/>
          <w:sz w:val="22"/>
          <w:szCs w:val="22"/>
        </w:rPr>
        <w:t xml:space="preserve">U.S. </w:t>
      </w:r>
      <w:r w:rsidRPr="005F6460">
        <w:rPr>
          <w:smallCaps/>
          <w:sz w:val="22"/>
          <w:szCs w:val="22"/>
        </w:rPr>
        <w:t xml:space="preserve">Department of Justice, </w:t>
      </w:r>
      <w:r w:rsidRPr="005F6460">
        <w:rPr>
          <w:i/>
          <w:sz w:val="22"/>
          <w:szCs w:val="22"/>
        </w:rPr>
        <w:t>Citigroup, Inc. Statement of Facts</w:t>
      </w:r>
      <w:r w:rsidRPr="005F6460">
        <w:rPr>
          <w:sz w:val="22"/>
          <w:szCs w:val="22"/>
        </w:rPr>
        <w:t xml:space="preserve">, </w:t>
      </w:r>
      <w:r w:rsidRPr="005F6460">
        <w:rPr>
          <w:i/>
          <w:sz w:val="22"/>
          <w:szCs w:val="22"/>
        </w:rPr>
        <w:t xml:space="preserve">available at </w:t>
      </w:r>
      <w:r w:rsidRPr="005F6460">
        <w:rPr>
          <w:sz w:val="22"/>
          <w:szCs w:val="22"/>
        </w:rPr>
        <w:t>https://www.justice.gov/iso/opa/resources/558201471413645397758.pdf.</w:t>
      </w:r>
    </w:p>
  </w:footnote>
  <w:footnote w:id="49">
    <w:p w:rsidR="00FF034F" w:rsidRPr="005F6460" w:rsidRDefault="00FF034F" w:rsidP="005F6460">
      <w:pPr>
        <w:pStyle w:val="FootnoteText"/>
        <w:jc w:val="both"/>
        <w:rPr>
          <w:sz w:val="22"/>
          <w:szCs w:val="22"/>
        </w:rPr>
      </w:pPr>
      <w:r w:rsidRPr="005F6460">
        <w:rPr>
          <w:rStyle w:val="FootnoteReference"/>
          <w:sz w:val="22"/>
          <w:szCs w:val="22"/>
        </w:rPr>
        <w:footnoteRef/>
      </w:r>
      <w:r w:rsidRPr="005F6460">
        <w:rPr>
          <w:sz w:val="22"/>
          <w:szCs w:val="22"/>
        </w:rPr>
        <w:t xml:space="preserve"> </w:t>
      </w:r>
      <w:r w:rsidRPr="005F6460">
        <w:rPr>
          <w:i/>
          <w:sz w:val="22"/>
          <w:szCs w:val="22"/>
        </w:rPr>
        <w:t>Toyota Statement of Facts</w:t>
      </w:r>
      <w:r w:rsidRPr="005F6460">
        <w:rPr>
          <w:sz w:val="22"/>
          <w:szCs w:val="22"/>
        </w:rPr>
        <w:t>, supra note 33, at 3.</w:t>
      </w:r>
    </w:p>
  </w:footnote>
  <w:footnote w:id="50">
    <w:p w:rsidR="00FF034F" w:rsidRPr="005F6460" w:rsidRDefault="00FF034F" w:rsidP="005F6460">
      <w:pPr>
        <w:pStyle w:val="FootnoteText"/>
        <w:jc w:val="both"/>
        <w:rPr>
          <w:i/>
          <w:sz w:val="22"/>
          <w:szCs w:val="22"/>
        </w:rPr>
      </w:pPr>
      <w:r w:rsidRPr="005F6460">
        <w:rPr>
          <w:rStyle w:val="FootnoteReference"/>
          <w:sz w:val="22"/>
          <w:szCs w:val="22"/>
        </w:rPr>
        <w:footnoteRef/>
      </w:r>
      <w:r w:rsidRPr="005F6460">
        <w:rPr>
          <w:sz w:val="22"/>
          <w:szCs w:val="22"/>
        </w:rPr>
        <w:t xml:space="preserve"> </w:t>
      </w:r>
      <w:r w:rsidRPr="005F6460">
        <w:rPr>
          <w:i/>
          <w:sz w:val="22"/>
          <w:szCs w:val="22"/>
        </w:rPr>
        <w:t>See id.</w:t>
      </w:r>
    </w:p>
  </w:footnote>
  <w:footnote w:id="51">
    <w:p w:rsidR="001C254C" w:rsidRPr="00DE39CF" w:rsidRDefault="001C254C" w:rsidP="005F6460">
      <w:pPr>
        <w:pStyle w:val="FootnoteText"/>
        <w:jc w:val="both"/>
        <w:rPr>
          <w:i/>
          <w:sz w:val="22"/>
          <w:szCs w:val="22"/>
        </w:rPr>
      </w:pPr>
      <w:r w:rsidRPr="005F6460">
        <w:rPr>
          <w:rStyle w:val="FootnoteReference"/>
          <w:sz w:val="22"/>
          <w:szCs w:val="22"/>
        </w:rPr>
        <w:footnoteRef/>
      </w:r>
      <w:r w:rsidRPr="005F6460">
        <w:rPr>
          <w:sz w:val="22"/>
          <w:szCs w:val="22"/>
        </w:rPr>
        <w:t xml:space="preserve"> </w:t>
      </w:r>
      <w:r w:rsidRPr="005F6460">
        <w:rPr>
          <w:i/>
          <w:sz w:val="22"/>
          <w:szCs w:val="22"/>
        </w:rPr>
        <w:t>United Sta</w:t>
      </w:r>
      <w:r w:rsidRPr="00DE39CF">
        <w:rPr>
          <w:i/>
          <w:sz w:val="22"/>
          <w:szCs w:val="22"/>
        </w:rPr>
        <w:t>tes of America ex rel. Victoria Starr v. Janssen Pharmaceutica Products, L.P.</w:t>
      </w:r>
      <w:r w:rsidRPr="00DE39CF">
        <w:rPr>
          <w:sz w:val="22"/>
          <w:szCs w:val="22"/>
        </w:rPr>
        <w:t xml:space="preserve">, Case No. 04-cv-1529, </w:t>
      </w:r>
      <w:r w:rsidR="00C90F80" w:rsidRPr="00DE39CF">
        <w:rPr>
          <w:sz w:val="22"/>
          <w:szCs w:val="22"/>
        </w:rPr>
        <w:t xml:space="preserve">United States’ Complaint in Intervention (E.D. Pa. Nov. 4, 2013), </w:t>
      </w:r>
      <w:r w:rsidR="00C90F80" w:rsidRPr="00DE39CF">
        <w:rPr>
          <w:i/>
          <w:sz w:val="22"/>
          <w:szCs w:val="22"/>
        </w:rPr>
        <w:t>available at</w:t>
      </w:r>
      <w:r w:rsidR="00C90F80" w:rsidRPr="00DE39CF">
        <w:rPr>
          <w:sz w:val="22"/>
          <w:szCs w:val="22"/>
        </w:rPr>
        <w:t xml:space="preserve"> https://www.justice.gov/sites/default/files/opa/legacy/2013/11/04/us-complaint-pa.pdf.</w:t>
      </w:r>
      <w:r w:rsidRPr="00DE39CF">
        <w:rPr>
          <w:i/>
          <w:sz w:val="22"/>
          <w:szCs w:val="22"/>
        </w:rPr>
        <w:t xml:space="preserve"> </w:t>
      </w:r>
    </w:p>
  </w:footnote>
  <w:footnote w:id="52">
    <w:p w:rsidR="005F6460" w:rsidRPr="00DE39CF" w:rsidRDefault="005F6460" w:rsidP="005F6460">
      <w:pPr>
        <w:pStyle w:val="FootnoteText"/>
        <w:jc w:val="both"/>
        <w:rPr>
          <w:sz w:val="22"/>
          <w:szCs w:val="22"/>
        </w:rPr>
      </w:pPr>
      <w:r w:rsidRPr="00DE39CF">
        <w:rPr>
          <w:rStyle w:val="FootnoteReference"/>
          <w:sz w:val="22"/>
          <w:szCs w:val="22"/>
        </w:rPr>
        <w:footnoteRef/>
      </w:r>
      <w:r w:rsidRPr="00DE39CF">
        <w:rPr>
          <w:sz w:val="22"/>
          <w:szCs w:val="22"/>
        </w:rPr>
        <w:t xml:space="preserve"> </w:t>
      </w:r>
      <w:r w:rsidRPr="00DE39CF">
        <w:rPr>
          <w:i/>
          <w:sz w:val="22"/>
          <w:szCs w:val="22"/>
        </w:rPr>
        <w:t>Id.</w:t>
      </w:r>
      <w:r w:rsidRPr="00DE39CF">
        <w:rPr>
          <w:sz w:val="22"/>
          <w:szCs w:val="22"/>
        </w:rPr>
        <w:t xml:space="preserve"> at 14.</w:t>
      </w:r>
    </w:p>
  </w:footnote>
  <w:footnote w:id="53">
    <w:p w:rsidR="000C1D9F" w:rsidRPr="00DE39CF" w:rsidRDefault="000C1D9F" w:rsidP="000C1D9F">
      <w:pPr>
        <w:pStyle w:val="FootnoteText"/>
        <w:rPr>
          <w:sz w:val="22"/>
          <w:szCs w:val="22"/>
        </w:rPr>
      </w:pPr>
      <w:r w:rsidRPr="00DE39CF">
        <w:rPr>
          <w:rStyle w:val="FootnoteReference"/>
          <w:sz w:val="22"/>
          <w:szCs w:val="22"/>
        </w:rPr>
        <w:footnoteRef/>
      </w:r>
      <w:r w:rsidRPr="00DE39CF">
        <w:rPr>
          <w:sz w:val="22"/>
          <w:szCs w:val="22"/>
        </w:rPr>
        <w:t xml:space="preserve"> </w:t>
      </w:r>
      <w:r w:rsidRPr="00DE39CF">
        <w:rPr>
          <w:i/>
          <w:sz w:val="22"/>
          <w:szCs w:val="22"/>
        </w:rPr>
        <w:t>See Miranda v. Arizona</w:t>
      </w:r>
      <w:r w:rsidR="00DE39CF" w:rsidRPr="00DE39CF">
        <w:rPr>
          <w:sz w:val="22"/>
          <w:szCs w:val="22"/>
        </w:rPr>
        <w:t xml:space="preserve">, 384 U.S. 436, 444 </w:t>
      </w:r>
      <w:r w:rsidRPr="00DE39CF">
        <w:rPr>
          <w:sz w:val="22"/>
          <w:szCs w:val="22"/>
        </w:rPr>
        <w:t>(1966)</w:t>
      </w:r>
      <w:r w:rsidR="00A760F6">
        <w:rPr>
          <w:sz w:val="22"/>
          <w:szCs w:val="22"/>
        </w:rPr>
        <w:t xml:space="preserve"> (landmark Supreme Court case holding, amongst other things, that police must inform persons of their right to invoke the Fifth Amendment and remain silent).</w:t>
      </w:r>
    </w:p>
    <w:p w:rsidR="000C1D9F" w:rsidRDefault="000C1D9F">
      <w:pPr>
        <w:pStyle w:val="FootnoteText"/>
      </w:pPr>
    </w:p>
  </w:footnote>
  <w:footnote w:id="54">
    <w:p w:rsidR="003A71B2" w:rsidRPr="0071463D" w:rsidRDefault="003A71B2" w:rsidP="003A71B2">
      <w:pPr>
        <w:pStyle w:val="FootnoteText"/>
        <w:jc w:val="both"/>
        <w:rPr>
          <w:sz w:val="22"/>
          <w:szCs w:val="22"/>
        </w:rPr>
      </w:pPr>
      <w:r w:rsidRPr="0071463D">
        <w:rPr>
          <w:rStyle w:val="FootnoteReference"/>
          <w:sz w:val="22"/>
          <w:szCs w:val="22"/>
        </w:rPr>
        <w:footnoteRef/>
      </w:r>
      <w:r w:rsidRPr="0071463D">
        <w:rPr>
          <w:sz w:val="22"/>
          <w:szCs w:val="22"/>
        </w:rPr>
        <w:t xml:space="preserve"> Adam Edelman, </w:t>
      </w:r>
      <w:r w:rsidRPr="0071463D">
        <w:rPr>
          <w:i/>
          <w:sz w:val="22"/>
          <w:szCs w:val="22"/>
        </w:rPr>
        <w:t>Trump Kicks off First Week in Office with Exec Order on Trade and Vows to Cut Regulations by ‘75%, maybe more’</w:t>
      </w:r>
      <w:r w:rsidRPr="0071463D">
        <w:rPr>
          <w:sz w:val="22"/>
          <w:szCs w:val="22"/>
        </w:rPr>
        <w:t xml:space="preserve">, </w:t>
      </w:r>
      <w:r w:rsidRPr="0071463D">
        <w:rPr>
          <w:smallCaps/>
          <w:sz w:val="22"/>
          <w:szCs w:val="22"/>
        </w:rPr>
        <w:t>N.Y. Daily News (</w:t>
      </w:r>
      <w:r w:rsidRPr="0071463D">
        <w:rPr>
          <w:sz w:val="22"/>
          <w:szCs w:val="22"/>
        </w:rPr>
        <w:t xml:space="preserve">Jan. 23, 2017), </w:t>
      </w:r>
      <w:r w:rsidRPr="0071463D">
        <w:rPr>
          <w:i/>
          <w:sz w:val="22"/>
          <w:szCs w:val="22"/>
        </w:rPr>
        <w:t>available at</w:t>
      </w:r>
      <w:r w:rsidRPr="0071463D">
        <w:rPr>
          <w:sz w:val="22"/>
          <w:szCs w:val="22"/>
        </w:rPr>
        <w:t xml:space="preserve"> http://www.nydailynews.com/news/politics/trump-withdraw-u-s-trans-pacific-partnership-trade-pact-article-1.2953291.</w:t>
      </w:r>
    </w:p>
  </w:footnote>
  <w:footnote w:id="55">
    <w:p w:rsidR="00635527" w:rsidRPr="001D3F04" w:rsidRDefault="00635527" w:rsidP="001D3F04">
      <w:pPr>
        <w:pStyle w:val="FootnoteText"/>
        <w:jc w:val="both"/>
        <w:rPr>
          <w:sz w:val="22"/>
          <w:szCs w:val="22"/>
        </w:rPr>
      </w:pPr>
      <w:r w:rsidRPr="0071463D">
        <w:rPr>
          <w:rStyle w:val="FootnoteReference"/>
          <w:sz w:val="22"/>
          <w:szCs w:val="22"/>
        </w:rPr>
        <w:footnoteRef/>
      </w:r>
      <w:r w:rsidRPr="0071463D">
        <w:rPr>
          <w:sz w:val="22"/>
          <w:szCs w:val="22"/>
        </w:rPr>
        <w:t xml:space="preserve"> </w:t>
      </w:r>
      <w:r w:rsidRPr="0071463D">
        <w:rPr>
          <w:i/>
          <w:sz w:val="22"/>
          <w:szCs w:val="22"/>
        </w:rPr>
        <w:t>See</w:t>
      </w:r>
      <w:r w:rsidRPr="0071463D">
        <w:rPr>
          <w:sz w:val="22"/>
          <w:szCs w:val="22"/>
        </w:rPr>
        <w:t xml:space="preserve"> C. Ryan Barber, </w:t>
      </w:r>
      <w:r w:rsidRPr="0071463D">
        <w:rPr>
          <w:i/>
          <w:sz w:val="22"/>
          <w:szCs w:val="22"/>
        </w:rPr>
        <w:t>DOJ’s Sally Yates is ‘Optimistic’ Trump Won’t Trash Namesake Enforcement Memo</w:t>
      </w:r>
      <w:r w:rsidRPr="0071463D">
        <w:rPr>
          <w:sz w:val="22"/>
          <w:szCs w:val="22"/>
        </w:rPr>
        <w:t>, NAT’L L. J</w:t>
      </w:r>
      <w:r w:rsidR="005C0698" w:rsidRPr="0071463D">
        <w:rPr>
          <w:sz w:val="22"/>
          <w:szCs w:val="22"/>
        </w:rPr>
        <w:t xml:space="preserve"> (Nov. 30, 2016), </w:t>
      </w:r>
      <w:r w:rsidR="005C0698" w:rsidRPr="0071463D">
        <w:rPr>
          <w:i/>
          <w:sz w:val="22"/>
          <w:szCs w:val="22"/>
        </w:rPr>
        <w:t>available at</w:t>
      </w:r>
      <w:r w:rsidR="005C0698" w:rsidRPr="0071463D">
        <w:rPr>
          <w:sz w:val="22"/>
          <w:szCs w:val="22"/>
        </w:rPr>
        <w:t xml:space="preserve"> http://www.nationallawjournal.com/id=1202773476363/DOJs-Sally-Yates-Is-Optimistic-Trump-Wont-Trash-Namesake-Enforcement-M</w:t>
      </w:r>
      <w:r w:rsidR="005C0698" w:rsidRPr="001D3F04">
        <w:rPr>
          <w:sz w:val="22"/>
          <w:szCs w:val="22"/>
        </w:rPr>
        <w:t>emo?slreturn=20170213152241.</w:t>
      </w:r>
    </w:p>
  </w:footnote>
  <w:footnote w:id="56">
    <w:p w:rsidR="001D3F04" w:rsidRPr="001D3F04" w:rsidRDefault="001D3F04" w:rsidP="001D3F04">
      <w:pPr>
        <w:pStyle w:val="FootnoteText"/>
        <w:jc w:val="both"/>
      </w:pPr>
      <w:r w:rsidRPr="001D3F04">
        <w:rPr>
          <w:rStyle w:val="FootnoteReference"/>
          <w:sz w:val="22"/>
          <w:szCs w:val="22"/>
        </w:rPr>
        <w:footnoteRef/>
      </w:r>
      <w:r w:rsidRPr="001D3F04">
        <w:rPr>
          <w:sz w:val="22"/>
          <w:szCs w:val="22"/>
        </w:rPr>
        <w:t xml:space="preserve"> James E. Connelly, </w:t>
      </w:r>
      <w:r w:rsidRPr="001D3F04">
        <w:rPr>
          <w:i/>
          <w:sz w:val="22"/>
          <w:szCs w:val="22"/>
        </w:rPr>
        <w:t>Trump Administration Likely to Maintain Yates Memo Priorities on Corporate Wrongdoing</w:t>
      </w:r>
      <w:r>
        <w:rPr>
          <w:sz w:val="22"/>
          <w:szCs w:val="22"/>
        </w:rPr>
        <w:t xml:space="preserve">, </w:t>
      </w:r>
      <w:r w:rsidRPr="001D3F04">
        <w:rPr>
          <w:smallCaps/>
          <w:sz w:val="22"/>
          <w:szCs w:val="22"/>
        </w:rPr>
        <w:t>MONDAQ (</w:t>
      </w:r>
      <w:r w:rsidRPr="001D3F04">
        <w:rPr>
          <w:sz w:val="22"/>
          <w:szCs w:val="22"/>
        </w:rPr>
        <w:t xml:space="preserve">Feb. 28, 2017), </w:t>
      </w:r>
      <w:r w:rsidRPr="001D3F04">
        <w:rPr>
          <w:i/>
          <w:sz w:val="22"/>
          <w:szCs w:val="22"/>
        </w:rPr>
        <w:t>available at</w:t>
      </w:r>
      <w:r w:rsidRPr="001D3F04">
        <w:rPr>
          <w:sz w:val="22"/>
          <w:szCs w:val="22"/>
        </w:rPr>
        <w:t xml:space="preserve"> http://www.mondaq.com/unitedstates/x/571946/Public+Order/Trump+Administration+Likely+To+Maintain+Yates+Memo+Priorities+On+Corporate+Wrongdoing.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3EE9"/>
    <w:multiLevelType w:val="hybridMultilevel"/>
    <w:tmpl w:val="3A9E32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33943E68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6C"/>
    <w:rsid w:val="00000ED4"/>
    <w:rsid w:val="0003774B"/>
    <w:rsid w:val="00043D6F"/>
    <w:rsid w:val="0004482D"/>
    <w:rsid w:val="00045E80"/>
    <w:rsid w:val="00056A6B"/>
    <w:rsid w:val="00066CA6"/>
    <w:rsid w:val="00067E8F"/>
    <w:rsid w:val="00075B0C"/>
    <w:rsid w:val="00086BCE"/>
    <w:rsid w:val="000949B0"/>
    <w:rsid w:val="000A14E3"/>
    <w:rsid w:val="000A28A5"/>
    <w:rsid w:val="000B2DDE"/>
    <w:rsid w:val="000B6439"/>
    <w:rsid w:val="000C0333"/>
    <w:rsid w:val="000C1D08"/>
    <w:rsid w:val="000C1D9F"/>
    <w:rsid w:val="000C4987"/>
    <w:rsid w:val="000D0388"/>
    <w:rsid w:val="000F4603"/>
    <w:rsid w:val="000F67ED"/>
    <w:rsid w:val="00100615"/>
    <w:rsid w:val="00101DF2"/>
    <w:rsid w:val="0011243A"/>
    <w:rsid w:val="0014056F"/>
    <w:rsid w:val="00142149"/>
    <w:rsid w:val="00147D07"/>
    <w:rsid w:val="001614E5"/>
    <w:rsid w:val="00166696"/>
    <w:rsid w:val="001722E5"/>
    <w:rsid w:val="00172EE9"/>
    <w:rsid w:val="00177D08"/>
    <w:rsid w:val="0018309E"/>
    <w:rsid w:val="00190FB7"/>
    <w:rsid w:val="0019348D"/>
    <w:rsid w:val="001A3D0F"/>
    <w:rsid w:val="001A556E"/>
    <w:rsid w:val="001B2D3A"/>
    <w:rsid w:val="001B4F5F"/>
    <w:rsid w:val="001B5E1A"/>
    <w:rsid w:val="001B64AD"/>
    <w:rsid w:val="001C254C"/>
    <w:rsid w:val="001C43E0"/>
    <w:rsid w:val="001D3813"/>
    <w:rsid w:val="001D3F04"/>
    <w:rsid w:val="001E649A"/>
    <w:rsid w:val="001F2141"/>
    <w:rsid w:val="001F3AA0"/>
    <w:rsid w:val="001F4DDF"/>
    <w:rsid w:val="001F55EB"/>
    <w:rsid w:val="002012A2"/>
    <w:rsid w:val="002014D7"/>
    <w:rsid w:val="0020446B"/>
    <w:rsid w:val="002213F7"/>
    <w:rsid w:val="00240991"/>
    <w:rsid w:val="00241081"/>
    <w:rsid w:val="0024181C"/>
    <w:rsid w:val="00243007"/>
    <w:rsid w:val="0024448F"/>
    <w:rsid w:val="002447CB"/>
    <w:rsid w:val="00245745"/>
    <w:rsid w:val="0025057D"/>
    <w:rsid w:val="0025217A"/>
    <w:rsid w:val="0025229C"/>
    <w:rsid w:val="00256F44"/>
    <w:rsid w:val="002666E7"/>
    <w:rsid w:val="00266F20"/>
    <w:rsid w:val="0027248F"/>
    <w:rsid w:val="00283EFC"/>
    <w:rsid w:val="00292B33"/>
    <w:rsid w:val="00293020"/>
    <w:rsid w:val="00293E22"/>
    <w:rsid w:val="002A06E3"/>
    <w:rsid w:val="002A20B0"/>
    <w:rsid w:val="002B3185"/>
    <w:rsid w:val="002B5CB4"/>
    <w:rsid w:val="002B6AA9"/>
    <w:rsid w:val="002C3D4A"/>
    <w:rsid w:val="002C6889"/>
    <w:rsid w:val="002C6C02"/>
    <w:rsid w:val="002D2EE9"/>
    <w:rsid w:val="002E2D63"/>
    <w:rsid w:val="002F4B74"/>
    <w:rsid w:val="00303067"/>
    <w:rsid w:val="0030527F"/>
    <w:rsid w:val="003056AC"/>
    <w:rsid w:val="00305CE1"/>
    <w:rsid w:val="00306DDB"/>
    <w:rsid w:val="0032101D"/>
    <w:rsid w:val="00325152"/>
    <w:rsid w:val="00327AA9"/>
    <w:rsid w:val="003435B9"/>
    <w:rsid w:val="00347D9B"/>
    <w:rsid w:val="00350CB2"/>
    <w:rsid w:val="00351484"/>
    <w:rsid w:val="00355472"/>
    <w:rsid w:val="00355E98"/>
    <w:rsid w:val="00363D9A"/>
    <w:rsid w:val="003678FB"/>
    <w:rsid w:val="00370D13"/>
    <w:rsid w:val="00370E3A"/>
    <w:rsid w:val="00371C91"/>
    <w:rsid w:val="00396F99"/>
    <w:rsid w:val="003A3754"/>
    <w:rsid w:val="003A44F1"/>
    <w:rsid w:val="003A71B2"/>
    <w:rsid w:val="003B1B1B"/>
    <w:rsid w:val="003B3E5A"/>
    <w:rsid w:val="003B5F56"/>
    <w:rsid w:val="003B682C"/>
    <w:rsid w:val="003C4A26"/>
    <w:rsid w:val="003C52F5"/>
    <w:rsid w:val="003D037B"/>
    <w:rsid w:val="003D28B7"/>
    <w:rsid w:val="003D3A15"/>
    <w:rsid w:val="003D7F8A"/>
    <w:rsid w:val="003E115D"/>
    <w:rsid w:val="003F2D8E"/>
    <w:rsid w:val="003F4A6D"/>
    <w:rsid w:val="0040125A"/>
    <w:rsid w:val="00402791"/>
    <w:rsid w:val="00411482"/>
    <w:rsid w:val="0041312A"/>
    <w:rsid w:val="00421284"/>
    <w:rsid w:val="00421E2A"/>
    <w:rsid w:val="00424783"/>
    <w:rsid w:val="00425347"/>
    <w:rsid w:val="004362BE"/>
    <w:rsid w:val="004508FA"/>
    <w:rsid w:val="0045179F"/>
    <w:rsid w:val="00455164"/>
    <w:rsid w:val="00464A3B"/>
    <w:rsid w:val="00467E64"/>
    <w:rsid w:val="00476766"/>
    <w:rsid w:val="00482707"/>
    <w:rsid w:val="00485160"/>
    <w:rsid w:val="004913B1"/>
    <w:rsid w:val="00493B5E"/>
    <w:rsid w:val="004A49DD"/>
    <w:rsid w:val="004A5190"/>
    <w:rsid w:val="004A7056"/>
    <w:rsid w:val="004B21A6"/>
    <w:rsid w:val="004B316A"/>
    <w:rsid w:val="004B3E27"/>
    <w:rsid w:val="004B5631"/>
    <w:rsid w:val="004B732F"/>
    <w:rsid w:val="004D2A8F"/>
    <w:rsid w:val="004D739C"/>
    <w:rsid w:val="004E0452"/>
    <w:rsid w:val="004E42EE"/>
    <w:rsid w:val="004F3818"/>
    <w:rsid w:val="00502650"/>
    <w:rsid w:val="00506441"/>
    <w:rsid w:val="00507844"/>
    <w:rsid w:val="00507F72"/>
    <w:rsid w:val="0052317B"/>
    <w:rsid w:val="0053338A"/>
    <w:rsid w:val="00534BC5"/>
    <w:rsid w:val="00537B01"/>
    <w:rsid w:val="005436F0"/>
    <w:rsid w:val="00547ADC"/>
    <w:rsid w:val="0055588E"/>
    <w:rsid w:val="00562368"/>
    <w:rsid w:val="00564F34"/>
    <w:rsid w:val="0056588B"/>
    <w:rsid w:val="00565C1C"/>
    <w:rsid w:val="00571E1F"/>
    <w:rsid w:val="005728BB"/>
    <w:rsid w:val="00577DFA"/>
    <w:rsid w:val="00585A09"/>
    <w:rsid w:val="0059199D"/>
    <w:rsid w:val="005A3297"/>
    <w:rsid w:val="005A4F1A"/>
    <w:rsid w:val="005B23E7"/>
    <w:rsid w:val="005B604A"/>
    <w:rsid w:val="005C0698"/>
    <w:rsid w:val="005E2129"/>
    <w:rsid w:val="005F1643"/>
    <w:rsid w:val="005F1717"/>
    <w:rsid w:val="005F1C65"/>
    <w:rsid w:val="005F542A"/>
    <w:rsid w:val="005F6460"/>
    <w:rsid w:val="00603C82"/>
    <w:rsid w:val="00604397"/>
    <w:rsid w:val="00611A8E"/>
    <w:rsid w:val="00626DE9"/>
    <w:rsid w:val="00627D8B"/>
    <w:rsid w:val="00635527"/>
    <w:rsid w:val="00637B80"/>
    <w:rsid w:val="00641DD7"/>
    <w:rsid w:val="00646277"/>
    <w:rsid w:val="006767E9"/>
    <w:rsid w:val="00686167"/>
    <w:rsid w:val="00686E46"/>
    <w:rsid w:val="0069403B"/>
    <w:rsid w:val="00695CEB"/>
    <w:rsid w:val="006A2394"/>
    <w:rsid w:val="006A275B"/>
    <w:rsid w:val="006A3A71"/>
    <w:rsid w:val="006A6EED"/>
    <w:rsid w:val="006B0A7B"/>
    <w:rsid w:val="006B1333"/>
    <w:rsid w:val="006B3307"/>
    <w:rsid w:val="006B3B97"/>
    <w:rsid w:val="006C4BD6"/>
    <w:rsid w:val="006C5FEF"/>
    <w:rsid w:val="006C7C02"/>
    <w:rsid w:val="006D0AEF"/>
    <w:rsid w:val="006F2B04"/>
    <w:rsid w:val="006F7A89"/>
    <w:rsid w:val="0070013C"/>
    <w:rsid w:val="0071463D"/>
    <w:rsid w:val="00715343"/>
    <w:rsid w:val="007160DF"/>
    <w:rsid w:val="00720BBC"/>
    <w:rsid w:val="00725050"/>
    <w:rsid w:val="00730F35"/>
    <w:rsid w:val="00736986"/>
    <w:rsid w:val="00743848"/>
    <w:rsid w:val="007558BC"/>
    <w:rsid w:val="00760784"/>
    <w:rsid w:val="007809D8"/>
    <w:rsid w:val="007818D3"/>
    <w:rsid w:val="007929F8"/>
    <w:rsid w:val="007A0C4B"/>
    <w:rsid w:val="007A3908"/>
    <w:rsid w:val="007A4B22"/>
    <w:rsid w:val="007A5A13"/>
    <w:rsid w:val="007A60E7"/>
    <w:rsid w:val="007A7595"/>
    <w:rsid w:val="007A78F1"/>
    <w:rsid w:val="007B1203"/>
    <w:rsid w:val="007B226A"/>
    <w:rsid w:val="007B6BC0"/>
    <w:rsid w:val="007B7540"/>
    <w:rsid w:val="007C0413"/>
    <w:rsid w:val="007D4C3B"/>
    <w:rsid w:val="007D56C3"/>
    <w:rsid w:val="007E4194"/>
    <w:rsid w:val="007F3DFE"/>
    <w:rsid w:val="007F5169"/>
    <w:rsid w:val="007F5C76"/>
    <w:rsid w:val="007F723E"/>
    <w:rsid w:val="00805C83"/>
    <w:rsid w:val="00811189"/>
    <w:rsid w:val="00812080"/>
    <w:rsid w:val="00821EAA"/>
    <w:rsid w:val="00824E4F"/>
    <w:rsid w:val="00834BCF"/>
    <w:rsid w:val="008547EF"/>
    <w:rsid w:val="008612A0"/>
    <w:rsid w:val="0086361F"/>
    <w:rsid w:val="0087737E"/>
    <w:rsid w:val="008823A7"/>
    <w:rsid w:val="00892931"/>
    <w:rsid w:val="008B540F"/>
    <w:rsid w:val="008C2666"/>
    <w:rsid w:val="008C3BAF"/>
    <w:rsid w:val="008D4A72"/>
    <w:rsid w:val="008F112A"/>
    <w:rsid w:val="008F6B66"/>
    <w:rsid w:val="009018C5"/>
    <w:rsid w:val="00903022"/>
    <w:rsid w:val="0090631F"/>
    <w:rsid w:val="00911ECB"/>
    <w:rsid w:val="009151AB"/>
    <w:rsid w:val="00924653"/>
    <w:rsid w:val="0093158D"/>
    <w:rsid w:val="00931F30"/>
    <w:rsid w:val="00934E76"/>
    <w:rsid w:val="009368EA"/>
    <w:rsid w:val="009445B5"/>
    <w:rsid w:val="009711D5"/>
    <w:rsid w:val="00986D4F"/>
    <w:rsid w:val="009B5A77"/>
    <w:rsid w:val="009B6852"/>
    <w:rsid w:val="009C18B6"/>
    <w:rsid w:val="009C72D4"/>
    <w:rsid w:val="009D0612"/>
    <w:rsid w:val="009D08F0"/>
    <w:rsid w:val="009D3041"/>
    <w:rsid w:val="009E1D45"/>
    <w:rsid w:val="009E2B5C"/>
    <w:rsid w:val="009F0FE5"/>
    <w:rsid w:val="009F4624"/>
    <w:rsid w:val="00A12926"/>
    <w:rsid w:val="00A14E78"/>
    <w:rsid w:val="00A21F42"/>
    <w:rsid w:val="00A24098"/>
    <w:rsid w:val="00A27F51"/>
    <w:rsid w:val="00A33F6F"/>
    <w:rsid w:val="00A36EB8"/>
    <w:rsid w:val="00A43453"/>
    <w:rsid w:val="00A44399"/>
    <w:rsid w:val="00A542AE"/>
    <w:rsid w:val="00A55EAF"/>
    <w:rsid w:val="00A56B7E"/>
    <w:rsid w:val="00A64589"/>
    <w:rsid w:val="00A67820"/>
    <w:rsid w:val="00A760F6"/>
    <w:rsid w:val="00AB60B6"/>
    <w:rsid w:val="00AC356F"/>
    <w:rsid w:val="00AC6D3E"/>
    <w:rsid w:val="00AC7D72"/>
    <w:rsid w:val="00AC7E04"/>
    <w:rsid w:val="00AE1FF5"/>
    <w:rsid w:val="00AE7F01"/>
    <w:rsid w:val="00AF339E"/>
    <w:rsid w:val="00AF36D2"/>
    <w:rsid w:val="00B02182"/>
    <w:rsid w:val="00B10754"/>
    <w:rsid w:val="00B11659"/>
    <w:rsid w:val="00B154F8"/>
    <w:rsid w:val="00B208D5"/>
    <w:rsid w:val="00B20B00"/>
    <w:rsid w:val="00B322EF"/>
    <w:rsid w:val="00B32BCA"/>
    <w:rsid w:val="00B33DEA"/>
    <w:rsid w:val="00B37F28"/>
    <w:rsid w:val="00B40986"/>
    <w:rsid w:val="00B41841"/>
    <w:rsid w:val="00B43864"/>
    <w:rsid w:val="00B4497B"/>
    <w:rsid w:val="00B518DB"/>
    <w:rsid w:val="00B53E59"/>
    <w:rsid w:val="00B6189F"/>
    <w:rsid w:val="00B72DEA"/>
    <w:rsid w:val="00B73976"/>
    <w:rsid w:val="00B75D17"/>
    <w:rsid w:val="00B76C9D"/>
    <w:rsid w:val="00B85062"/>
    <w:rsid w:val="00B86589"/>
    <w:rsid w:val="00B9295F"/>
    <w:rsid w:val="00B942C7"/>
    <w:rsid w:val="00B96B54"/>
    <w:rsid w:val="00B97987"/>
    <w:rsid w:val="00BA376C"/>
    <w:rsid w:val="00BA611C"/>
    <w:rsid w:val="00BB5DE1"/>
    <w:rsid w:val="00BC4C42"/>
    <w:rsid w:val="00BE192B"/>
    <w:rsid w:val="00BF170D"/>
    <w:rsid w:val="00BF677E"/>
    <w:rsid w:val="00C01926"/>
    <w:rsid w:val="00C01CE1"/>
    <w:rsid w:val="00C04886"/>
    <w:rsid w:val="00C067E5"/>
    <w:rsid w:val="00C1402D"/>
    <w:rsid w:val="00C205C1"/>
    <w:rsid w:val="00C245D0"/>
    <w:rsid w:val="00C268D1"/>
    <w:rsid w:val="00C308D8"/>
    <w:rsid w:val="00C32A8D"/>
    <w:rsid w:val="00C3354C"/>
    <w:rsid w:val="00C346E9"/>
    <w:rsid w:val="00C4446C"/>
    <w:rsid w:val="00C44641"/>
    <w:rsid w:val="00C45C44"/>
    <w:rsid w:val="00C52F5D"/>
    <w:rsid w:val="00C6179A"/>
    <w:rsid w:val="00C76C3B"/>
    <w:rsid w:val="00C82173"/>
    <w:rsid w:val="00C8539C"/>
    <w:rsid w:val="00C90F80"/>
    <w:rsid w:val="00C92A7B"/>
    <w:rsid w:val="00C94CBA"/>
    <w:rsid w:val="00CA0FB4"/>
    <w:rsid w:val="00CB0145"/>
    <w:rsid w:val="00CB1F8A"/>
    <w:rsid w:val="00CC2CF1"/>
    <w:rsid w:val="00CC5DBB"/>
    <w:rsid w:val="00CD00FD"/>
    <w:rsid w:val="00CE157B"/>
    <w:rsid w:val="00CF12E6"/>
    <w:rsid w:val="00CF14E1"/>
    <w:rsid w:val="00D14767"/>
    <w:rsid w:val="00D15A9A"/>
    <w:rsid w:val="00D16D0E"/>
    <w:rsid w:val="00D17178"/>
    <w:rsid w:val="00D30457"/>
    <w:rsid w:val="00D33477"/>
    <w:rsid w:val="00D34787"/>
    <w:rsid w:val="00D36CBF"/>
    <w:rsid w:val="00D57673"/>
    <w:rsid w:val="00D60267"/>
    <w:rsid w:val="00D62681"/>
    <w:rsid w:val="00D63134"/>
    <w:rsid w:val="00D631EE"/>
    <w:rsid w:val="00D70B95"/>
    <w:rsid w:val="00D725A2"/>
    <w:rsid w:val="00D83CEF"/>
    <w:rsid w:val="00D85722"/>
    <w:rsid w:val="00D8634F"/>
    <w:rsid w:val="00D86F41"/>
    <w:rsid w:val="00D97903"/>
    <w:rsid w:val="00DA50C1"/>
    <w:rsid w:val="00DB157F"/>
    <w:rsid w:val="00DB2A4D"/>
    <w:rsid w:val="00DC380E"/>
    <w:rsid w:val="00DD5C09"/>
    <w:rsid w:val="00DE2BFA"/>
    <w:rsid w:val="00DE39CF"/>
    <w:rsid w:val="00DE5DFE"/>
    <w:rsid w:val="00DF5D0D"/>
    <w:rsid w:val="00E01BBC"/>
    <w:rsid w:val="00E03FA3"/>
    <w:rsid w:val="00E0540B"/>
    <w:rsid w:val="00E064D8"/>
    <w:rsid w:val="00E15ED9"/>
    <w:rsid w:val="00E16E8C"/>
    <w:rsid w:val="00E224D8"/>
    <w:rsid w:val="00E3577B"/>
    <w:rsid w:val="00E40512"/>
    <w:rsid w:val="00E43CE2"/>
    <w:rsid w:val="00E52EBD"/>
    <w:rsid w:val="00E54595"/>
    <w:rsid w:val="00E6339B"/>
    <w:rsid w:val="00E679D6"/>
    <w:rsid w:val="00EA2BD1"/>
    <w:rsid w:val="00EB109F"/>
    <w:rsid w:val="00EB185E"/>
    <w:rsid w:val="00EB3079"/>
    <w:rsid w:val="00EC5331"/>
    <w:rsid w:val="00ED132B"/>
    <w:rsid w:val="00ED4665"/>
    <w:rsid w:val="00EF0056"/>
    <w:rsid w:val="00EF2766"/>
    <w:rsid w:val="00F0237A"/>
    <w:rsid w:val="00F0364F"/>
    <w:rsid w:val="00F05268"/>
    <w:rsid w:val="00F069D2"/>
    <w:rsid w:val="00F15934"/>
    <w:rsid w:val="00F162DA"/>
    <w:rsid w:val="00F17CD1"/>
    <w:rsid w:val="00F3173C"/>
    <w:rsid w:val="00F35960"/>
    <w:rsid w:val="00F51117"/>
    <w:rsid w:val="00F61296"/>
    <w:rsid w:val="00F6616C"/>
    <w:rsid w:val="00F72B00"/>
    <w:rsid w:val="00F733A9"/>
    <w:rsid w:val="00F87424"/>
    <w:rsid w:val="00F96EB1"/>
    <w:rsid w:val="00F9741E"/>
    <w:rsid w:val="00FB1787"/>
    <w:rsid w:val="00FB57A6"/>
    <w:rsid w:val="00FC1901"/>
    <w:rsid w:val="00FC46FA"/>
    <w:rsid w:val="00FD3B04"/>
    <w:rsid w:val="00FD3D45"/>
    <w:rsid w:val="00FD6E47"/>
    <w:rsid w:val="00FE543F"/>
    <w:rsid w:val="00FF034F"/>
    <w:rsid w:val="00FF1DB5"/>
    <w:rsid w:val="00FF2848"/>
    <w:rsid w:val="00FF4ABE"/>
    <w:rsid w:val="00FF5C1A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6AEE7-97AB-490B-8E7E-14BFE6C0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2A2"/>
  </w:style>
  <w:style w:type="paragraph" w:styleId="Heading1">
    <w:name w:val="heading 1"/>
    <w:basedOn w:val="Normal"/>
    <w:next w:val="Normal"/>
    <w:link w:val="Heading1Char"/>
    <w:uiPriority w:val="9"/>
    <w:qFormat/>
    <w:rsid w:val="005B6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012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012A2"/>
  </w:style>
  <w:style w:type="paragraph" w:styleId="Header">
    <w:name w:val="header"/>
    <w:basedOn w:val="Normal"/>
    <w:link w:val="HeaderChar"/>
    <w:uiPriority w:val="99"/>
    <w:unhideWhenUsed/>
    <w:rsid w:val="00A2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F42"/>
  </w:style>
  <w:style w:type="paragraph" w:styleId="Footer">
    <w:name w:val="footer"/>
    <w:basedOn w:val="Normal"/>
    <w:link w:val="FooterChar"/>
    <w:uiPriority w:val="99"/>
    <w:unhideWhenUsed/>
    <w:rsid w:val="00A2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F42"/>
  </w:style>
  <w:style w:type="paragraph" w:styleId="FootnoteText">
    <w:name w:val="footnote text"/>
    <w:basedOn w:val="Normal"/>
    <w:link w:val="FootnoteTextChar"/>
    <w:uiPriority w:val="99"/>
    <w:semiHidden/>
    <w:unhideWhenUsed/>
    <w:rsid w:val="00172E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2E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2E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D08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96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B6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0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3750</Words>
  <Characters>21381</Characters>
  <Application>Microsoft Office Word</Application>
  <DocSecurity>4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Melisa Maisel</dc:creator>
  <cp:keywords/>
  <cp:lastModifiedBy>Melisa Maisel</cp:lastModifiedBy>
  <cp:revision>2</cp:revision>
  <dcterms:created xsi:type="dcterms:W3CDTF">2017-03-20T15:38:00Z</dcterms:created>
  <dcterms:modified xsi:type="dcterms:W3CDTF">2017-03-20T15:38:00Z</dcterms:modified>
</cp:coreProperties>
</file>